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Default="00EE1C10" w:rsidP="00101C48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证券代码：000001                                  证券简称：</w:t>
      </w:r>
      <w:r w:rsidR="00D96584">
        <w:rPr>
          <w:rFonts w:ascii="宋体" w:hAnsi="宋体" w:hint="eastAsia"/>
          <w:bCs/>
          <w:iCs/>
          <w:color w:val="000000"/>
          <w:sz w:val="24"/>
        </w:rPr>
        <w:t>平安银行</w:t>
      </w:r>
    </w:p>
    <w:p w:rsidR="00EE1C10" w:rsidRDefault="003317E5" w:rsidP="00101C48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平安</w:t>
      </w:r>
      <w:r w:rsidR="00EE1C10">
        <w:rPr>
          <w:rFonts w:ascii="宋体" w:hAnsi="宋体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Default="00EE1C10" w:rsidP="00EE1C1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43629D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E1C10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EE1C1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E1C10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EE1C10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E1C10" w:rsidRDefault="0043629D" w:rsidP="0043629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券商策略会</w:t>
            </w:r>
            <w:r w:rsidR="00EE1C10">
              <w:rPr>
                <w:rFonts w:ascii="宋体" w:hAnsi="宋体" w:hint="eastAsia"/>
                <w:sz w:val="28"/>
                <w:szCs w:val="28"/>
                <w:u w:val="single"/>
              </w:rPr>
              <w:t>）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43629D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3629D">
              <w:rPr>
                <w:rFonts w:ascii="宋体" w:hAnsi="宋体"/>
                <w:bCs/>
                <w:iCs/>
                <w:color w:val="000000"/>
                <w:sz w:val="24"/>
              </w:rPr>
              <w:t>券商、基金等各类投资者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43629D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2013年5月23日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43629D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厦门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CB4AC9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A140B8" w:rsidRPr="00F10F65" w:rsidRDefault="00CB4AC9" w:rsidP="00101C48">
            <w:pPr>
              <w:pStyle w:val="FAQ305050505"/>
              <w:numPr>
                <w:ilvl w:val="0"/>
                <w:numId w:val="1"/>
              </w:numPr>
              <w:tabs>
                <w:tab w:val="clear" w:pos="540"/>
                <w:tab w:val="left" w:pos="567"/>
              </w:tabs>
              <w:spacing w:beforeLines="100" w:afterLines="0" w:line="276" w:lineRule="auto"/>
              <w:rPr>
                <w:rFonts w:ascii="宋体" w:eastAsia="宋体" w:hAnsi="宋体" w:cs="Times New Roman"/>
                <w:bCs/>
                <w:iCs/>
                <w:color w:val="000000"/>
                <w:szCs w:val="24"/>
                <w:lang w:bidi="ar-SA"/>
              </w:rPr>
            </w:pPr>
            <w:bookmarkStart w:id="0" w:name="_Toc333221626"/>
            <w:r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  <w:lang w:bidi="ar-SA"/>
              </w:rPr>
              <w:t>一季度经营要点</w:t>
            </w:r>
          </w:p>
          <w:p w:rsidR="00CB4AC9" w:rsidRPr="00CB4AC9" w:rsidRDefault="00CB4AC9" w:rsidP="00CB4AC9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营业收入108.02亿元，同比增长11%；实现净利润35.89亿元，同比增长3%。</w:t>
            </w:r>
          </w:p>
          <w:p w:rsidR="00CB4AC9" w:rsidRPr="00CB4AC9" w:rsidRDefault="00CB4AC9" w:rsidP="00CB4AC9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手续费及佣金净收入18.05亿元，同比增长25%，手续费收入占比提升至17%，非利息净收入20.95亿元，同比增长18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%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，在营业收入中的占比提升至19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%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。由于两次降息和同业业务规模扩大的影响，存贷差有所收窄，较去年四季度收窄3bp至4.11%，同比下降36bp净</w:t>
            </w:r>
            <w:proofErr w:type="gramStart"/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息差较去年四季度</w:t>
            </w:r>
            <w:proofErr w:type="gramEnd"/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下降12bp至2.18%，同比下降30bp。</w:t>
            </w:r>
          </w:p>
          <w:p w:rsidR="00CB4AC9" w:rsidRPr="00CB4AC9" w:rsidRDefault="00CB4AC9" w:rsidP="00CB4AC9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资产总额18,112亿元，较年初增长13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%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；贷款总额（含贴现）7,548亿元，较年初增长5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%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；存款总额10,645亿元，较年初增长4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%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。由于同业资产占用资本较低，同业资产的增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lastRenderedPageBreak/>
              <w:t>长相对快速，规模突破4000亿。贴现较年初上升214%，一般性贷款较年初增长2%。其中，一般性公司贷款较年初下降3%，零售贷款增长9%。总存款增长4%，其中公司存款增长5%，零售存款增长3%。</w:t>
            </w:r>
          </w:p>
          <w:p w:rsidR="00A140B8" w:rsidRPr="00CB4AC9" w:rsidRDefault="00A140B8" w:rsidP="00A140B8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</w:p>
          <w:bookmarkEnd w:id="0"/>
          <w:p w:rsidR="0043629D" w:rsidRPr="0043629D" w:rsidRDefault="0043629D" w:rsidP="0043629D">
            <w:pPr>
              <w:pStyle w:val="FAQ305050505"/>
              <w:numPr>
                <w:ilvl w:val="0"/>
                <w:numId w:val="1"/>
              </w:numPr>
              <w:tabs>
                <w:tab w:val="clear" w:pos="540"/>
                <w:tab w:val="left" w:pos="567"/>
              </w:tabs>
              <w:spacing w:beforeLines="100" w:afterLines="0" w:line="276" w:lineRule="auto"/>
              <w:rPr>
                <w:rFonts w:ascii="宋体" w:eastAsia="宋体" w:hAnsi="宋体" w:cs="Times New Roman"/>
                <w:bCs/>
                <w:iCs/>
                <w:color w:val="000000"/>
                <w:szCs w:val="24"/>
                <w:lang w:bidi="ar-SA"/>
              </w:rPr>
            </w:pPr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  <w:lang w:bidi="ar-SA"/>
              </w:rPr>
              <w:t>2013年在中间业务收入方面有哪些提升措施？</w:t>
            </w:r>
          </w:p>
          <w:p w:rsidR="0043629D" w:rsidRPr="0043629D" w:rsidRDefault="0043629D" w:rsidP="0043629D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2013年一季度</w:t>
            </w:r>
            <w:r w:rsidRPr="0043629D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，由于受</w:t>
            </w:r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宏观环境和监管政策</w:t>
            </w:r>
            <w:r w:rsidRPr="0043629D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影响，本行</w:t>
            </w:r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代理及委托手续费收入和账户管理费</w:t>
            </w:r>
            <w:r w:rsidRPr="0043629D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收入</w:t>
            </w:r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同比</w:t>
            </w:r>
            <w:r w:rsidRPr="0043629D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大幅下降</w:t>
            </w:r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。</w:t>
            </w:r>
            <w:r w:rsidRPr="0043629D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但</w:t>
            </w:r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受益于</w:t>
            </w:r>
            <w:r w:rsidRPr="0043629D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本行规模及客户的扩大、银行卡</w:t>
            </w:r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与投行</w:t>
            </w:r>
            <w:r w:rsidRPr="0043629D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业务的快速发展、理财产品创新、服务质量提升</w:t>
            </w:r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等，</w:t>
            </w:r>
            <w:r w:rsidRPr="0043629D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本行手续费净收入的整体增长形势良好</w:t>
            </w:r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，同比上升了24.7%。</w:t>
            </w:r>
          </w:p>
          <w:p w:rsidR="0043629D" w:rsidRPr="0043629D" w:rsidRDefault="0043629D" w:rsidP="0043629D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未来的提升措施</w:t>
            </w:r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具体措施包括如下几点：</w:t>
            </w:r>
          </w:p>
          <w:p w:rsidR="0043629D" w:rsidRPr="0043629D" w:rsidRDefault="0043629D" w:rsidP="0043629D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（1）我行将严格遵循监管政策的要求，杜绝“七不准”的收费项目。</w:t>
            </w:r>
          </w:p>
          <w:p w:rsidR="0043629D" w:rsidRPr="0043629D" w:rsidRDefault="0043629D" w:rsidP="0043629D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（2）在对公中间业务发展上，将严格按照“三个实质性”要求，研究推出对客户实质性新服务，为客户带来实质性的益处，实实在在提升客户效率，如在供应</w:t>
            </w:r>
            <w:proofErr w:type="gramStart"/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链金融</w:t>
            </w:r>
            <w:proofErr w:type="gramEnd"/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领域深化“贸易融资+现金管理”综合服务，加快线上</w:t>
            </w:r>
            <w:proofErr w:type="gramStart"/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化业务</w:t>
            </w:r>
            <w:proofErr w:type="gramEnd"/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进程，以新产品、新服务创造新的收入增长。</w:t>
            </w:r>
          </w:p>
          <w:p w:rsidR="0043629D" w:rsidRPr="0043629D" w:rsidRDefault="0043629D" w:rsidP="0043629D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（3）在零售中间业务发展上，我行将：创新并推进优化各</w:t>
            </w:r>
            <w:proofErr w:type="gramStart"/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类支付</w:t>
            </w:r>
            <w:proofErr w:type="gramEnd"/>
            <w:r w:rsidRPr="0043629D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结算平台和工具，扩大结算类中间业务收入；进一步加强理财业务的创新和研发，提升理财类中间业务收入；继续加强贵金属、基金、保险等各类代理业务，强化销售和售后服务，持续提高代理规模，扩大代理类中间业务收入。</w:t>
            </w:r>
          </w:p>
          <w:p w:rsidR="00A140B8" w:rsidRPr="00CB4AC9" w:rsidRDefault="00A140B8" w:rsidP="00A140B8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</w:p>
          <w:p w:rsidR="00CB4AC9" w:rsidRPr="00CB4AC9" w:rsidRDefault="00CB4AC9" w:rsidP="00CB4AC9">
            <w:pPr>
              <w:pStyle w:val="FAQ305050505"/>
              <w:numPr>
                <w:ilvl w:val="0"/>
                <w:numId w:val="1"/>
              </w:numPr>
              <w:tabs>
                <w:tab w:val="clear" w:pos="540"/>
                <w:tab w:val="left" w:pos="567"/>
              </w:tabs>
              <w:spacing w:beforeLines="100" w:afterLines="0" w:line="276" w:lineRule="auto"/>
              <w:rPr>
                <w:rFonts w:ascii="宋体" w:eastAsia="宋体" w:hAnsi="宋体" w:cs="Times New Roman"/>
                <w:bCs/>
                <w:iCs/>
                <w:color w:val="000000"/>
                <w:szCs w:val="24"/>
                <w:lang w:bidi="ar-SA"/>
              </w:rPr>
            </w:pP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  <w:lang w:bidi="ar-SA"/>
              </w:rPr>
              <w:t>净利差和净息差的下降，存在哪些因素？</w:t>
            </w:r>
          </w:p>
          <w:p w:rsidR="00CB4AC9" w:rsidRPr="00CB4AC9" w:rsidRDefault="00CB4AC9" w:rsidP="00CB4AC9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从同比情况看，受央行201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2年6月以来的两次调息政策影响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，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各项资产收益率和负债成本率均有所下降，存贷差也随着存贷款利率浮动区间的扩大而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有所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收窄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。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同时，本行同业业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lastRenderedPageBreak/>
              <w:t>务快速发展，规模占比利润贡献均大幅提升。但由于同业业务利差低于基础银行业务，因此，同业业务的增长对整体净利差和净息差有所稀释。</w:t>
            </w:r>
          </w:p>
          <w:p w:rsidR="00CB4AC9" w:rsidRPr="00CB4AC9" w:rsidRDefault="00CB4AC9" w:rsidP="00CB4AC9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从环比情况看，2012年央行调息政策的重定价影响继续体现，虽然本季度本行加大了组合和定价管理，新发放贷款的结构和利率均有明显改善，但对贷款整体收益率的提升作用还需要逐步体现。同时，同业</w:t>
            </w:r>
            <w:proofErr w:type="gramStart"/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业务环</w:t>
            </w:r>
            <w:proofErr w:type="gramEnd"/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比继续快速增长，提升利润贡献的同时，对净利差和净息差也有稀释影响。</w:t>
            </w:r>
          </w:p>
          <w:p w:rsidR="00CB4AC9" w:rsidRPr="00CB4AC9" w:rsidRDefault="00CB4AC9" w:rsidP="00CB4AC9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其中，单从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客户贷款及垫款收益率情况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来看，虽然同比和环比都有所下降，但本行通过对组合和定价管理，新发放贷款的结构和定价均有所改善，高收益的零售贷款占比增加，并在央行降息周期中保持了收益率同比上升的趋势。</w:t>
            </w:r>
          </w:p>
          <w:p w:rsidR="00A140B8" w:rsidRPr="00F10F65" w:rsidRDefault="00A140B8" w:rsidP="00A140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EE1C10" w:rsidRDefault="00A140B8" w:rsidP="0043629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5503C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 w:rsidR="0043629D">
              <w:rPr>
                <w:rFonts w:ascii="宋体" w:hAnsi="宋体" w:hint="eastAsia"/>
                <w:bCs/>
                <w:iCs/>
                <w:color w:val="000000"/>
                <w:sz w:val="24"/>
              </w:rPr>
              <w:t>券商策略会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未签署</w:t>
            </w:r>
            <w:r w:rsidRPr="0035503C">
              <w:rPr>
                <w:rFonts w:ascii="宋体" w:hAnsi="宋体" w:hint="eastAsia"/>
                <w:bCs/>
                <w:iCs/>
                <w:color w:val="000000"/>
                <w:sz w:val="24"/>
              </w:rPr>
              <w:t>《承诺书》。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CB4AC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公司推荐材料，请参阅</w:t>
            </w:r>
            <w:r w:rsidR="003317E5">
              <w:rPr>
                <w:rFonts w:ascii="宋体" w:hAnsi="宋体" w:hint="eastAsia"/>
                <w:bCs/>
                <w:iCs/>
                <w:color w:val="000000"/>
                <w:sz w:val="24"/>
              </w:rPr>
              <w:t>我行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投资者关系栏目</w:t>
            </w:r>
            <w:r w:rsidR="00CB4AC9">
              <w:rPr>
                <w:rFonts w:ascii="宋体" w:hAnsi="宋体" w:hint="eastAsia"/>
                <w:bCs/>
                <w:iCs/>
                <w:color w:val="000000"/>
                <w:sz w:val="24"/>
              </w:rPr>
              <w:t>bank.pingan.com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761259" w:rsidP="0043629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2013.</w:t>
            </w:r>
            <w:r w:rsidR="0043629D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.2</w:t>
            </w:r>
            <w:r w:rsidR="0043629D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</w:p>
        </w:tc>
      </w:tr>
    </w:tbl>
    <w:p w:rsidR="00EE1C10" w:rsidRDefault="00EE1C10" w:rsidP="00EE1C10">
      <w:pPr>
        <w:jc w:val="center"/>
        <w:rPr>
          <w:rFonts w:ascii="宋体" w:hAnsi="宋体"/>
          <w:sz w:val="28"/>
          <w:szCs w:val="28"/>
        </w:rPr>
      </w:pPr>
    </w:p>
    <w:p w:rsidR="00941F1C" w:rsidRDefault="00941F1C"/>
    <w:sectPr w:rsidR="00941F1C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18" w:rsidRDefault="00206C18" w:rsidP="00D96584">
      <w:r>
        <w:separator/>
      </w:r>
    </w:p>
  </w:endnote>
  <w:endnote w:type="continuationSeparator" w:id="0">
    <w:p w:rsidR="00206C18" w:rsidRDefault="00206C18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18" w:rsidRDefault="00206C18" w:rsidP="00D96584">
      <w:r>
        <w:separator/>
      </w:r>
    </w:p>
  </w:footnote>
  <w:footnote w:type="continuationSeparator" w:id="0">
    <w:p w:rsidR="00206C18" w:rsidRDefault="00206C18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B3693"/>
    <w:rsid w:val="00101C48"/>
    <w:rsid w:val="0015535F"/>
    <w:rsid w:val="001B33AC"/>
    <w:rsid w:val="001D2529"/>
    <w:rsid w:val="00206C18"/>
    <w:rsid w:val="003317E5"/>
    <w:rsid w:val="003B107D"/>
    <w:rsid w:val="0043629D"/>
    <w:rsid w:val="00761259"/>
    <w:rsid w:val="00941F1C"/>
    <w:rsid w:val="00951547"/>
    <w:rsid w:val="00A140B8"/>
    <w:rsid w:val="00CB4AC9"/>
    <w:rsid w:val="00D96584"/>
    <w:rsid w:val="00EE1C10"/>
    <w:rsid w:val="00EE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</Words>
  <Characters>1459</Characters>
  <Application>Microsoft Office Word</Application>
  <DocSecurity>0</DocSecurity>
  <Lines>12</Lines>
  <Paragraphs>3</Paragraphs>
  <ScaleCrop>false</ScaleCrop>
  <Company>sdb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Lillian Gao</cp:lastModifiedBy>
  <cp:revision>3</cp:revision>
  <dcterms:created xsi:type="dcterms:W3CDTF">2013-07-18T02:15:00Z</dcterms:created>
  <dcterms:modified xsi:type="dcterms:W3CDTF">2013-07-18T02:19:00Z</dcterms:modified>
</cp:coreProperties>
</file>