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10" w:rsidRDefault="00EE1C10" w:rsidP="00550FD9">
      <w:pPr>
        <w:spacing w:beforeLines="50" w:afterLines="50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证券代码：000001                                  证券简称：</w:t>
      </w:r>
      <w:r w:rsidR="00D96584">
        <w:rPr>
          <w:rFonts w:ascii="宋体" w:hAnsi="宋体" w:hint="eastAsia"/>
          <w:bCs/>
          <w:iCs/>
          <w:color w:val="000000"/>
          <w:sz w:val="24"/>
        </w:rPr>
        <w:t>平安银行</w:t>
      </w:r>
    </w:p>
    <w:p w:rsidR="00EE1C10" w:rsidRDefault="003317E5" w:rsidP="00550FD9">
      <w:pPr>
        <w:spacing w:beforeLines="50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平安</w:t>
      </w:r>
      <w:r w:rsidR="00EE1C10">
        <w:rPr>
          <w:rFonts w:ascii="宋体" w:hAnsi="宋体" w:hint="eastAsia"/>
          <w:b/>
          <w:bCs/>
          <w:iCs/>
          <w:color w:val="000000"/>
          <w:sz w:val="32"/>
          <w:szCs w:val="32"/>
        </w:rPr>
        <w:t>银行股份有限公司投资者关系活动记录表</w:t>
      </w:r>
    </w:p>
    <w:p w:rsidR="00EE1C10" w:rsidRDefault="00EE1C10" w:rsidP="00EE1C10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 编号：</w:t>
      </w:r>
    </w:p>
    <w:tbl>
      <w:tblPr>
        <w:tblStyle w:val="a3"/>
        <w:tblW w:w="0" w:type="auto"/>
        <w:tblLook w:val="01E0"/>
      </w:tblPr>
      <w:tblGrid>
        <w:gridCol w:w="1908"/>
        <w:gridCol w:w="6614"/>
      </w:tblGrid>
      <w:tr w:rsidR="00EE1C10" w:rsidTr="00B07D0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Default="00EE1C10" w:rsidP="00B07D0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  <w:p w:rsidR="00EE1C10" w:rsidRDefault="00EE1C10" w:rsidP="00B07D0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Default="0043629D" w:rsidP="00B07D0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EE1C10">
              <w:rPr>
                <w:rFonts w:ascii="宋体" w:hAnsi="宋体" w:hint="eastAsia"/>
                <w:sz w:val="28"/>
                <w:szCs w:val="28"/>
              </w:rPr>
              <w:t xml:space="preserve">特定对象调研        </w:t>
            </w:r>
            <w:r w:rsidR="00EE1C10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EE1C10">
              <w:rPr>
                <w:rFonts w:ascii="宋体" w:hAnsi="宋体" w:hint="eastAsia"/>
                <w:sz w:val="28"/>
                <w:szCs w:val="28"/>
              </w:rPr>
              <w:t>分析师会议</w:t>
            </w:r>
          </w:p>
          <w:p w:rsidR="00EE1C10" w:rsidRDefault="00EE1C10" w:rsidP="00B07D0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媒体采访            </w:t>
            </w:r>
            <w:r w:rsid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hint="eastAsia"/>
                <w:sz w:val="28"/>
                <w:szCs w:val="28"/>
              </w:rPr>
              <w:t>业绩说明会</w:t>
            </w:r>
          </w:p>
          <w:p w:rsidR="00EE1C10" w:rsidRDefault="00EE1C10" w:rsidP="00B07D0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路演活动</w:t>
            </w:r>
          </w:p>
          <w:p w:rsidR="00EE1C10" w:rsidRDefault="00EE1C10" w:rsidP="00B07D0C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现场参观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</w:r>
          </w:p>
          <w:p w:rsidR="00EE1C10" w:rsidRDefault="00B31C4E" w:rsidP="00B31C4E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EE1C10">
              <w:rPr>
                <w:rFonts w:ascii="宋体" w:hAnsi="宋体" w:hint="eastAsia"/>
                <w:sz w:val="28"/>
                <w:szCs w:val="28"/>
              </w:rPr>
              <w:t xml:space="preserve">其他 </w:t>
            </w:r>
          </w:p>
        </w:tc>
      </w:tr>
      <w:tr w:rsidR="00EE1C10" w:rsidTr="00B07D0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Default="00EE1C10" w:rsidP="00B07D0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Default="0043629D" w:rsidP="00B07D0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43629D">
              <w:rPr>
                <w:rFonts w:ascii="宋体" w:hAnsi="宋体"/>
                <w:bCs/>
                <w:iCs/>
                <w:color w:val="000000"/>
                <w:sz w:val="24"/>
              </w:rPr>
              <w:t>券商、基金等各类投资者</w:t>
            </w:r>
          </w:p>
        </w:tc>
      </w:tr>
      <w:tr w:rsidR="00EE1C10" w:rsidTr="00B07D0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Default="00EE1C10" w:rsidP="00B07D0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Default="0043629D" w:rsidP="00B31C4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2013年</w:t>
            </w:r>
            <w:r w:rsid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8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23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  <w:tr w:rsidR="00EE1C10" w:rsidTr="00B07D0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Default="00EE1C10" w:rsidP="00B07D0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Default="00623A26" w:rsidP="00B07D0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深圳</w:t>
            </w:r>
          </w:p>
        </w:tc>
      </w:tr>
      <w:tr w:rsidR="00EE1C10" w:rsidTr="00B07D0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Default="00EE1C10" w:rsidP="00B07D0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Default="00B31C4E" w:rsidP="00B07D0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我行高管</w:t>
            </w:r>
          </w:p>
        </w:tc>
      </w:tr>
      <w:tr w:rsidR="00EE1C10" w:rsidTr="00B07D0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Default="00EE1C10" w:rsidP="00B07D0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:rsidR="00EE1C10" w:rsidRDefault="00EE1C10" w:rsidP="00B07D0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Default="00EE1C10" w:rsidP="00B07D0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介绍公司发展战略、经营业绩，回答投资者提问</w:t>
            </w:r>
          </w:p>
          <w:p w:rsidR="00B31C4E" w:rsidRPr="00B31C4E" w:rsidRDefault="00B31C4E" w:rsidP="00B31C4E">
            <w:pPr>
              <w:pStyle w:val="a6"/>
              <w:numPr>
                <w:ilvl w:val="0"/>
                <w:numId w:val="5"/>
              </w:numPr>
              <w:spacing w:line="480" w:lineRule="atLeast"/>
              <w:ind w:firstLineChars="0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存款规模增长显著，增速领先同业。报告期末存款总额11,754亿元，较年初增长</w:t>
            </w:r>
            <w:r w:rsidRPr="00B31C4E">
              <w:rPr>
                <w:rFonts w:ascii="宋体" w:hAnsi="宋体"/>
                <w:bCs/>
                <w:iCs/>
                <w:color w:val="000000"/>
                <w:sz w:val="24"/>
              </w:rPr>
              <w:t>15.11%</w:t>
            </w:r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B31C4E" w:rsidRPr="00B31C4E" w:rsidRDefault="00B31C4E" w:rsidP="00B31C4E">
            <w:pPr>
              <w:pStyle w:val="a6"/>
              <w:numPr>
                <w:ilvl w:val="0"/>
                <w:numId w:val="5"/>
              </w:numPr>
              <w:tabs>
                <w:tab w:val="num" w:pos="360"/>
              </w:tabs>
              <w:spacing w:line="480" w:lineRule="atLeast"/>
              <w:ind w:firstLineChars="0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投行业务快速发展。上半年投融资总额达到</w:t>
            </w:r>
            <w:r w:rsidRPr="00B31C4E">
              <w:rPr>
                <w:rFonts w:ascii="宋体" w:hAnsi="宋体"/>
                <w:bCs/>
                <w:iCs/>
                <w:color w:val="000000"/>
                <w:sz w:val="24"/>
              </w:rPr>
              <w:t>934</w:t>
            </w:r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亿元；资产托管净值</w:t>
            </w:r>
            <w:r w:rsidRPr="00B31C4E">
              <w:rPr>
                <w:rFonts w:ascii="宋体" w:hAnsi="宋体"/>
                <w:bCs/>
                <w:iCs/>
                <w:color w:val="000000"/>
                <w:sz w:val="24"/>
              </w:rPr>
              <w:t>6,240</w:t>
            </w:r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亿元；实现投行（含托管）中收</w:t>
            </w:r>
            <w:r w:rsidRPr="00B31C4E">
              <w:rPr>
                <w:rFonts w:ascii="宋体" w:hAnsi="宋体"/>
                <w:bCs/>
                <w:iCs/>
                <w:color w:val="000000"/>
                <w:sz w:val="24"/>
              </w:rPr>
              <w:t>8.35</w:t>
            </w:r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亿；</w:t>
            </w:r>
            <w:r w:rsidRPr="00B31C4E">
              <w:rPr>
                <w:rFonts w:ascii="宋体" w:hAnsi="宋体"/>
                <w:bCs/>
                <w:iCs/>
                <w:color w:val="000000"/>
                <w:sz w:val="24"/>
              </w:rPr>
              <w:t>26</w:t>
            </w:r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家财务公司、</w:t>
            </w:r>
            <w:r w:rsidRPr="00B31C4E">
              <w:rPr>
                <w:rFonts w:ascii="宋体" w:hAnsi="宋体"/>
                <w:bCs/>
                <w:iCs/>
                <w:color w:val="000000"/>
                <w:sz w:val="24"/>
              </w:rPr>
              <w:t>11</w:t>
            </w:r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家证券公司、</w:t>
            </w:r>
            <w:r w:rsidRPr="00B31C4E">
              <w:rPr>
                <w:rFonts w:ascii="宋体" w:hAnsi="宋体"/>
                <w:bCs/>
                <w:iCs/>
                <w:color w:val="000000"/>
                <w:sz w:val="24"/>
              </w:rPr>
              <w:t>50</w:t>
            </w:r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多家城商行</w:t>
            </w:r>
            <w:proofErr w:type="gramStart"/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成为金橙俱乐部</w:t>
            </w:r>
            <w:proofErr w:type="gramEnd"/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会员；</w:t>
            </w:r>
            <w:proofErr w:type="gramStart"/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金橙财富</w:t>
            </w:r>
            <w:proofErr w:type="gramEnd"/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陆续推出单一资产支持型理财、债券式理财等新产品，资产管理规模</w:t>
            </w:r>
            <w:r w:rsidRPr="00B31C4E">
              <w:rPr>
                <w:rFonts w:ascii="宋体" w:hAnsi="宋体"/>
                <w:bCs/>
                <w:iCs/>
                <w:color w:val="000000"/>
                <w:sz w:val="24"/>
              </w:rPr>
              <w:t>672</w:t>
            </w:r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亿。</w:t>
            </w:r>
            <w:r w:rsidRPr="00B31C4E"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</w:p>
          <w:p w:rsidR="00B31C4E" w:rsidRPr="00B31C4E" w:rsidRDefault="00B31C4E" w:rsidP="00B31C4E">
            <w:pPr>
              <w:pStyle w:val="a6"/>
              <w:numPr>
                <w:ilvl w:val="0"/>
                <w:numId w:val="5"/>
              </w:numPr>
              <w:tabs>
                <w:tab w:val="num" w:pos="360"/>
              </w:tabs>
              <w:spacing w:line="480" w:lineRule="atLeast"/>
              <w:ind w:firstLineChars="0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事业部建设成效初显：能源矿产：上半年实现存款余额34.76亿元，贷款余额</w:t>
            </w:r>
            <w:r w:rsidRPr="00B31C4E">
              <w:rPr>
                <w:rFonts w:ascii="宋体" w:hAnsi="宋体"/>
                <w:bCs/>
                <w:iCs/>
                <w:color w:val="000000"/>
                <w:sz w:val="24"/>
              </w:rPr>
              <w:t>9.5</w:t>
            </w:r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4亿元；金融地产：上半年实现存款余额</w:t>
            </w:r>
            <w:r w:rsidRPr="00B31C4E">
              <w:rPr>
                <w:rFonts w:ascii="宋体" w:hAnsi="宋体"/>
                <w:bCs/>
                <w:iCs/>
                <w:color w:val="000000"/>
                <w:sz w:val="24"/>
              </w:rPr>
              <w:t>56</w:t>
            </w:r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.29亿元，贷款余额</w:t>
            </w:r>
            <w:r w:rsidRPr="00B31C4E">
              <w:rPr>
                <w:rFonts w:ascii="宋体" w:hAnsi="宋体"/>
                <w:bCs/>
                <w:iCs/>
                <w:color w:val="000000"/>
                <w:sz w:val="24"/>
              </w:rPr>
              <w:t>3</w:t>
            </w:r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7.99亿元，获</w:t>
            </w:r>
            <w:proofErr w:type="gramStart"/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中收约</w:t>
            </w:r>
            <w:proofErr w:type="gramEnd"/>
            <w:r w:rsidRPr="00B31C4E">
              <w:rPr>
                <w:rFonts w:ascii="宋体" w:hAnsi="宋体"/>
                <w:bCs/>
                <w:iCs/>
                <w:color w:val="000000"/>
                <w:sz w:val="24"/>
              </w:rPr>
              <w:t>5</w:t>
            </w:r>
            <w:proofErr w:type="gramStart"/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千万</w:t>
            </w:r>
            <w:proofErr w:type="gramEnd"/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元。</w:t>
            </w:r>
            <w:r w:rsidRPr="00B31C4E"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</w:p>
          <w:p w:rsidR="00B31C4E" w:rsidRPr="00B31C4E" w:rsidRDefault="00B31C4E" w:rsidP="00B31C4E">
            <w:pPr>
              <w:pStyle w:val="a6"/>
              <w:numPr>
                <w:ilvl w:val="0"/>
                <w:numId w:val="5"/>
              </w:numPr>
              <w:tabs>
                <w:tab w:val="num" w:pos="360"/>
              </w:tabs>
              <w:spacing w:line="480" w:lineRule="atLeast"/>
              <w:ind w:firstLineChars="0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结构调整的效果逐步显现：存款快速增长，基础负债占比提高；同业资产负债及贴现规模较一季度末进行有效压缩。中间收入占</w:t>
            </w:r>
            <w:proofErr w:type="gramStart"/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比显著</w:t>
            </w:r>
            <w:proofErr w:type="gramEnd"/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提高，</w:t>
            </w:r>
            <w:proofErr w:type="gramStart"/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轻资本</w:t>
            </w:r>
            <w:proofErr w:type="gramEnd"/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中间业务发展加快。贷款资源全面向高收益种类倾斜：零售贷款（含信用卡应收账款）余额2,869.94亿元、较年初增长27.08</w:t>
            </w:r>
            <w:r w:rsidRPr="00B31C4E">
              <w:rPr>
                <w:rFonts w:ascii="宋体" w:hAnsi="宋体"/>
                <w:bCs/>
                <w:iCs/>
                <w:color w:val="000000"/>
                <w:sz w:val="24"/>
              </w:rPr>
              <w:t>%</w:t>
            </w:r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，在总贷款中占比提升5个百分点。其中：小</w:t>
            </w:r>
            <w:proofErr w:type="gramStart"/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微贷款</w:t>
            </w:r>
            <w:proofErr w:type="gramEnd"/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余额732.07亿元，较年初增长31.12%；汽车融资市场集中度逐步提升，期末份额居全国第一；信用卡业务持续健康发展，贷款余额较年初增幅54.77%，累计</w:t>
            </w:r>
            <w:proofErr w:type="gramStart"/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流通卡</w:t>
            </w:r>
            <w:proofErr w:type="gramEnd"/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量达1,230万张，上半年新发卡266万张、同比增长44.0%。</w:t>
            </w:r>
          </w:p>
          <w:p w:rsidR="00B31C4E" w:rsidRPr="00B31C4E" w:rsidRDefault="00B31C4E" w:rsidP="00B31C4E">
            <w:pPr>
              <w:pStyle w:val="a6"/>
              <w:numPr>
                <w:ilvl w:val="0"/>
                <w:numId w:val="5"/>
              </w:numPr>
              <w:tabs>
                <w:tab w:val="num" w:pos="360"/>
                <w:tab w:val="num" w:pos="720"/>
              </w:tabs>
              <w:spacing w:line="480" w:lineRule="atLeast"/>
              <w:ind w:firstLineChars="0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定价能力显著提高：二季度全行贷款（不含贴现）平均收益率</w:t>
            </w:r>
            <w:r w:rsidRPr="00B31C4E">
              <w:rPr>
                <w:rFonts w:ascii="宋体" w:hAnsi="宋体"/>
                <w:bCs/>
                <w:iCs/>
                <w:color w:val="000000"/>
                <w:sz w:val="24"/>
              </w:rPr>
              <w:t>6.69%</w:t>
            </w:r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，比一季度提高</w:t>
            </w:r>
            <w:r w:rsidRPr="00B31C4E">
              <w:rPr>
                <w:rFonts w:ascii="宋体" w:hAnsi="宋体"/>
                <w:bCs/>
                <w:iCs/>
                <w:color w:val="000000"/>
                <w:sz w:val="24"/>
              </w:rPr>
              <w:t>17</w:t>
            </w:r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个基点。存贷利差：存贷利差逐步提高，二季度存贷利差</w:t>
            </w:r>
            <w:r w:rsidRPr="00B31C4E">
              <w:rPr>
                <w:rFonts w:ascii="宋体" w:hAnsi="宋体"/>
                <w:bCs/>
                <w:iCs/>
                <w:color w:val="000000"/>
                <w:sz w:val="24"/>
              </w:rPr>
              <w:t>4.31%</w:t>
            </w:r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，比一季度提高</w:t>
            </w:r>
            <w:r w:rsidRPr="00B31C4E">
              <w:rPr>
                <w:rFonts w:ascii="宋体" w:hAnsi="宋体"/>
                <w:bCs/>
                <w:iCs/>
                <w:color w:val="000000"/>
                <w:sz w:val="24"/>
              </w:rPr>
              <w:t>20</w:t>
            </w:r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个基点，比</w:t>
            </w:r>
            <w:r w:rsidRPr="00B31C4E">
              <w:rPr>
                <w:rFonts w:ascii="宋体" w:hAnsi="宋体"/>
                <w:bCs/>
                <w:iCs/>
                <w:color w:val="000000"/>
                <w:sz w:val="24"/>
              </w:rPr>
              <w:t>2012</w:t>
            </w:r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Pr="00B31C4E">
              <w:rPr>
                <w:rFonts w:ascii="宋体" w:hAnsi="宋体"/>
                <w:bCs/>
                <w:iCs/>
                <w:color w:val="000000"/>
                <w:sz w:val="24"/>
              </w:rPr>
              <w:t>4</w:t>
            </w:r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季度提高</w:t>
            </w:r>
            <w:r w:rsidRPr="00B31C4E">
              <w:rPr>
                <w:rFonts w:ascii="宋体" w:hAnsi="宋体"/>
                <w:bCs/>
                <w:iCs/>
                <w:color w:val="000000"/>
                <w:sz w:val="24"/>
              </w:rPr>
              <w:t>17</w:t>
            </w:r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个基点；净利差、净息差：通过提高贷款利率和压缩同业资产，二季度净利差、净息差逐步提高；在</w:t>
            </w:r>
            <w:r w:rsidRPr="00B31C4E">
              <w:rPr>
                <w:rFonts w:ascii="宋体" w:hAnsi="宋体"/>
                <w:bCs/>
                <w:iCs/>
                <w:color w:val="000000"/>
                <w:sz w:val="24"/>
              </w:rPr>
              <w:t>6</w:t>
            </w:r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月流动性危机影响下，二季度净利差、净息</w:t>
            </w:r>
            <w:proofErr w:type="gramStart"/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差仍然环</w:t>
            </w:r>
            <w:proofErr w:type="gramEnd"/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比提高</w:t>
            </w:r>
            <w:r w:rsidRPr="00B31C4E">
              <w:rPr>
                <w:rFonts w:ascii="宋体" w:hAnsi="宋体"/>
                <w:bCs/>
                <w:iCs/>
                <w:color w:val="000000"/>
                <w:sz w:val="24"/>
              </w:rPr>
              <w:t>3</w:t>
            </w:r>
            <w:r w:rsidRP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个基点。</w:t>
            </w:r>
            <w:r w:rsidRPr="00B31C4E"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</w:p>
          <w:p w:rsidR="00A140B8" w:rsidRPr="00F10F65" w:rsidRDefault="00A140B8" w:rsidP="00A140B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:rsidR="00EE1C10" w:rsidRDefault="00A140B8" w:rsidP="00B31C4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5503C">
              <w:rPr>
                <w:rFonts w:ascii="宋体" w:hAnsi="宋体" w:hint="eastAsia"/>
                <w:bCs/>
                <w:iCs/>
                <w:color w:val="000000"/>
                <w:sz w:val="24"/>
              </w:rPr>
              <w:t>接待过程中，公司接待人员与投资者进行了充分的交流与沟通，严格按照有关制度规定，没有出现未公开重大信息泄露等情况，</w:t>
            </w:r>
            <w:r w:rsid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电话会议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未签署</w:t>
            </w:r>
            <w:r w:rsidRPr="0035503C">
              <w:rPr>
                <w:rFonts w:ascii="宋体" w:hAnsi="宋体" w:hint="eastAsia"/>
                <w:bCs/>
                <w:iCs/>
                <w:color w:val="000000"/>
                <w:sz w:val="24"/>
              </w:rPr>
              <w:t>《承诺书》。</w:t>
            </w:r>
          </w:p>
        </w:tc>
      </w:tr>
      <w:tr w:rsidR="00EE1C10" w:rsidTr="00B07D0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Default="00EE1C10" w:rsidP="00B07D0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Default="00EE1C10" w:rsidP="00CB4AC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公司推荐材料，请参阅</w:t>
            </w:r>
            <w:r w:rsidR="003317E5">
              <w:rPr>
                <w:rFonts w:ascii="宋体" w:hAnsi="宋体" w:hint="eastAsia"/>
                <w:bCs/>
                <w:iCs/>
                <w:color w:val="000000"/>
                <w:sz w:val="24"/>
              </w:rPr>
              <w:t>我行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投资者关系栏目</w:t>
            </w:r>
            <w:r w:rsidR="00CB4AC9">
              <w:rPr>
                <w:rFonts w:ascii="宋体" w:hAnsi="宋体" w:hint="eastAsia"/>
                <w:bCs/>
                <w:iCs/>
                <w:color w:val="000000"/>
                <w:sz w:val="24"/>
              </w:rPr>
              <w:t>bank.pingan.com</w:t>
            </w:r>
          </w:p>
        </w:tc>
      </w:tr>
      <w:tr w:rsidR="00EE1C10" w:rsidTr="00B07D0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Default="00EE1C10" w:rsidP="00B07D0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Default="00761259" w:rsidP="00B31C4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2013.</w:t>
            </w:r>
            <w:r w:rsid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8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.2</w:t>
            </w:r>
            <w:r w:rsidR="00B31C4E">
              <w:rPr>
                <w:rFonts w:ascii="宋体" w:hAnsi="宋体" w:hint="eastAsia"/>
                <w:bCs/>
                <w:iCs/>
                <w:color w:val="000000"/>
                <w:sz w:val="24"/>
              </w:rPr>
              <w:t>3</w:t>
            </w:r>
          </w:p>
        </w:tc>
      </w:tr>
    </w:tbl>
    <w:p w:rsidR="00EE1C10" w:rsidRDefault="00EE1C10" w:rsidP="00EE1C10">
      <w:pPr>
        <w:jc w:val="center"/>
        <w:rPr>
          <w:rFonts w:ascii="宋体" w:hAnsi="宋体"/>
          <w:sz w:val="28"/>
          <w:szCs w:val="28"/>
        </w:rPr>
      </w:pPr>
    </w:p>
    <w:p w:rsidR="00941F1C" w:rsidRDefault="00941F1C"/>
    <w:sectPr w:rsidR="00941F1C" w:rsidSect="00941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F6B" w:rsidRDefault="00E50F6B" w:rsidP="00D96584">
      <w:r>
        <w:separator/>
      </w:r>
    </w:p>
  </w:endnote>
  <w:endnote w:type="continuationSeparator" w:id="0">
    <w:p w:rsidR="00E50F6B" w:rsidRDefault="00E50F6B" w:rsidP="00D96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准圆_GBK_平安专用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F6B" w:rsidRDefault="00E50F6B" w:rsidP="00D96584">
      <w:r>
        <w:separator/>
      </w:r>
    </w:p>
  </w:footnote>
  <w:footnote w:type="continuationSeparator" w:id="0">
    <w:p w:rsidR="00E50F6B" w:rsidRDefault="00E50F6B" w:rsidP="00D96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0C2"/>
    <w:multiLevelType w:val="hybridMultilevel"/>
    <w:tmpl w:val="0E6473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F5992"/>
    <w:multiLevelType w:val="hybridMultilevel"/>
    <w:tmpl w:val="FFD8AA9E"/>
    <w:lvl w:ilvl="0" w:tplc="B818F4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A80BC4E">
      <w:start w:val="1"/>
      <w:numFmt w:val="bullet"/>
      <w:lvlText w:val=""/>
      <w:lvlJc w:val="left"/>
      <w:pPr>
        <w:tabs>
          <w:tab w:val="num" w:pos="420"/>
        </w:tabs>
        <w:ind w:left="420" w:firstLine="0"/>
      </w:pPr>
      <w:rPr>
        <w:rFonts w:ascii="Wingdings" w:hAnsi="Wingdings" w:hint="default"/>
      </w:rPr>
    </w:lvl>
    <w:lvl w:ilvl="2" w:tplc="B57CE62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56828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F6794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56279E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126EB9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F2626E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174753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E3055A1"/>
    <w:multiLevelType w:val="hybridMultilevel"/>
    <w:tmpl w:val="9314D8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5C23F02"/>
    <w:multiLevelType w:val="hybridMultilevel"/>
    <w:tmpl w:val="64C8DC7A"/>
    <w:lvl w:ilvl="0" w:tplc="761231E8">
      <w:start w:val="1"/>
      <w:numFmt w:val="decimal"/>
      <w:pStyle w:val="3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26D4D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1B880F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1E2A5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5E8E06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964108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2C43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AA6D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1B40E1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B7F6B72"/>
    <w:multiLevelType w:val="hybridMultilevel"/>
    <w:tmpl w:val="2524439C"/>
    <w:lvl w:ilvl="0" w:tplc="24D0BD9C">
      <w:start w:val="1"/>
      <w:numFmt w:val="decimal"/>
      <w:pStyle w:val="30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48A8C7F8">
      <w:start w:val="1"/>
      <w:numFmt w:val="decimal"/>
      <w:lvlText w:val="%2、"/>
      <w:lvlJc w:val="left"/>
      <w:pPr>
        <w:tabs>
          <w:tab w:val="num" w:pos="354"/>
        </w:tabs>
        <w:ind w:left="354" w:hanging="360"/>
      </w:pPr>
      <w:rPr>
        <w:rFonts w:hint="eastAsia"/>
      </w:rPr>
    </w:lvl>
    <w:lvl w:ilvl="2" w:tplc="036C89F6" w:tentative="1">
      <w:start w:val="1"/>
      <w:numFmt w:val="lowerRoman"/>
      <w:lvlText w:val="%3."/>
      <w:lvlJc w:val="right"/>
      <w:pPr>
        <w:tabs>
          <w:tab w:val="num" w:pos="834"/>
        </w:tabs>
        <w:ind w:left="834" w:hanging="420"/>
      </w:pPr>
    </w:lvl>
    <w:lvl w:ilvl="3" w:tplc="09A8F47E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4B36B3DA" w:tentative="1">
      <w:start w:val="1"/>
      <w:numFmt w:val="lowerLetter"/>
      <w:lvlText w:val="%5)"/>
      <w:lvlJc w:val="left"/>
      <w:pPr>
        <w:tabs>
          <w:tab w:val="num" w:pos="1674"/>
        </w:tabs>
        <w:ind w:left="1674" w:hanging="420"/>
      </w:pPr>
    </w:lvl>
    <w:lvl w:ilvl="5" w:tplc="5D0E630A" w:tentative="1">
      <w:start w:val="1"/>
      <w:numFmt w:val="lowerRoman"/>
      <w:lvlText w:val="%6."/>
      <w:lvlJc w:val="right"/>
      <w:pPr>
        <w:tabs>
          <w:tab w:val="num" w:pos="2094"/>
        </w:tabs>
        <w:ind w:left="2094" w:hanging="420"/>
      </w:pPr>
    </w:lvl>
    <w:lvl w:ilvl="6" w:tplc="FD96FC00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57967AA6" w:tentative="1">
      <w:start w:val="1"/>
      <w:numFmt w:val="lowerLetter"/>
      <w:lvlText w:val="%8)"/>
      <w:lvlJc w:val="left"/>
      <w:pPr>
        <w:tabs>
          <w:tab w:val="num" w:pos="2934"/>
        </w:tabs>
        <w:ind w:left="2934" w:hanging="420"/>
      </w:pPr>
    </w:lvl>
    <w:lvl w:ilvl="8" w:tplc="AA646454" w:tentative="1">
      <w:start w:val="1"/>
      <w:numFmt w:val="lowerRoman"/>
      <w:lvlText w:val="%9."/>
      <w:lvlJc w:val="right"/>
      <w:pPr>
        <w:tabs>
          <w:tab w:val="num" w:pos="3354"/>
        </w:tabs>
        <w:ind w:left="3354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C10"/>
    <w:rsid w:val="000B3693"/>
    <w:rsid w:val="00101C48"/>
    <w:rsid w:val="0015535F"/>
    <w:rsid w:val="001B33AC"/>
    <w:rsid w:val="001D2529"/>
    <w:rsid w:val="003317E5"/>
    <w:rsid w:val="003B107D"/>
    <w:rsid w:val="0043629D"/>
    <w:rsid w:val="00550FD9"/>
    <w:rsid w:val="00623A26"/>
    <w:rsid w:val="0063326E"/>
    <w:rsid w:val="00761259"/>
    <w:rsid w:val="00941F1C"/>
    <w:rsid w:val="00951547"/>
    <w:rsid w:val="00A140B8"/>
    <w:rsid w:val="00B31C4E"/>
    <w:rsid w:val="00C81677"/>
    <w:rsid w:val="00CB4AC9"/>
    <w:rsid w:val="00D96584"/>
    <w:rsid w:val="00E50F6B"/>
    <w:rsid w:val="00EE1C10"/>
    <w:rsid w:val="00EE4F68"/>
    <w:rsid w:val="00F1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0">
    <w:name w:val="heading 3"/>
    <w:basedOn w:val="a"/>
    <w:next w:val="a"/>
    <w:link w:val="3Char"/>
    <w:autoRedefine/>
    <w:uiPriority w:val="99"/>
    <w:qFormat/>
    <w:rsid w:val="00CB4AC9"/>
    <w:pPr>
      <w:widowControl/>
      <w:numPr>
        <w:numId w:val="3"/>
      </w:numPr>
      <w:tabs>
        <w:tab w:val="left" w:pos="540"/>
      </w:tabs>
      <w:overflowPunct w:val="0"/>
      <w:autoSpaceDE w:val="0"/>
      <w:autoSpaceDN w:val="0"/>
      <w:adjustRightInd w:val="0"/>
      <w:snapToGrid w:val="0"/>
      <w:spacing w:before="480" w:afterLines="50"/>
      <w:jc w:val="left"/>
      <w:textAlignment w:val="baseline"/>
      <w:outlineLvl w:val="2"/>
    </w:pPr>
    <w:rPr>
      <w:rFonts w:ascii="方正准圆_GBK_平安专用" w:eastAsia="方正准圆_GBK_平安专用" w:hAnsi="Arial"/>
      <w:b/>
      <w:bCs/>
      <w:sz w:val="24"/>
      <w:szCs w:val="22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C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9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965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96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96584"/>
    <w:rPr>
      <w:rFonts w:ascii="Times New Roman" w:eastAsia="宋体" w:hAnsi="Times New Roman" w:cs="Times New Roman"/>
      <w:sz w:val="18"/>
      <w:szCs w:val="18"/>
    </w:rPr>
  </w:style>
  <w:style w:type="paragraph" w:customStyle="1" w:styleId="FAQ305050505">
    <w:name w:val="样式 样式 深发展FAQ标题3 + 段前: 0.5 行 段后: 0.5 行 + 段前: 0.5 行 段后: 0.5 行"/>
    <w:basedOn w:val="a"/>
    <w:rsid w:val="00A140B8"/>
    <w:pPr>
      <w:widowControl/>
      <w:tabs>
        <w:tab w:val="left" w:pos="540"/>
      </w:tabs>
      <w:overflowPunct w:val="0"/>
      <w:autoSpaceDE w:val="0"/>
      <w:autoSpaceDN w:val="0"/>
      <w:adjustRightInd w:val="0"/>
      <w:snapToGrid w:val="0"/>
      <w:spacing w:beforeLines="50" w:afterLines="50" w:line="288" w:lineRule="auto"/>
      <w:jc w:val="left"/>
      <w:textAlignment w:val="baseline"/>
      <w:outlineLvl w:val="2"/>
    </w:pPr>
    <w:rPr>
      <w:rFonts w:ascii="黑体" w:eastAsia="黑体" w:hAnsi="Arial" w:cs="宋体"/>
      <w:color w:val="000000" w:themeColor="text1"/>
      <w:sz w:val="24"/>
      <w:szCs w:val="20"/>
      <w:lang w:bidi="he-IL"/>
    </w:rPr>
  </w:style>
  <w:style w:type="paragraph" w:customStyle="1" w:styleId="CM189ArialGB2312078">
    <w:name w:val="样式 样式 样式 CM189 + (西文) Arial (中文) 仿宋_GB2312 段前: 0 磅 段后: 7.8 磅 行距:..."/>
    <w:basedOn w:val="a"/>
    <w:uiPriority w:val="99"/>
    <w:rsid w:val="00A140B8"/>
    <w:pPr>
      <w:spacing w:beforeLines="50" w:afterLines="50" w:line="288" w:lineRule="auto"/>
      <w:ind w:firstLineChars="200" w:firstLine="200"/>
    </w:pPr>
    <w:rPr>
      <w:rFonts w:ascii="Arial" w:eastAsia="仿宋_GB2312" w:hAnsi="Arial" w:cs="宋体"/>
      <w:sz w:val="24"/>
      <w:szCs w:val="20"/>
    </w:rPr>
  </w:style>
  <w:style w:type="character" w:customStyle="1" w:styleId="3Char">
    <w:name w:val="标题 3 Char"/>
    <w:basedOn w:val="a0"/>
    <w:link w:val="30"/>
    <w:uiPriority w:val="99"/>
    <w:rsid w:val="00CB4AC9"/>
    <w:rPr>
      <w:rFonts w:ascii="方正准圆_GBK_平安专用" w:eastAsia="方正准圆_GBK_平安专用" w:hAnsi="Arial" w:cs="Times New Roman"/>
      <w:b/>
      <w:bCs/>
      <w:sz w:val="24"/>
      <w:lang w:bidi="he-IL"/>
    </w:rPr>
  </w:style>
  <w:style w:type="paragraph" w:customStyle="1" w:styleId="3">
    <w:name w:val="标题3"/>
    <w:basedOn w:val="30"/>
    <w:autoRedefine/>
    <w:rsid w:val="0043629D"/>
    <w:pPr>
      <w:keepNext/>
      <w:keepLines/>
      <w:numPr>
        <w:numId w:val="4"/>
      </w:numPr>
      <w:tabs>
        <w:tab w:val="clear" w:pos="540"/>
      </w:tabs>
      <w:overflowPunct/>
      <w:autoSpaceDE/>
      <w:autoSpaceDN/>
      <w:adjustRightInd/>
      <w:ind w:rightChars="100" w:right="220"/>
      <w:textAlignment w:val="auto"/>
    </w:pPr>
    <w:rPr>
      <w:rFonts w:ascii="宋体" w:eastAsia="宋体" w:hAnsi="宋体" w:cs="宋体"/>
      <w:color w:val="333333"/>
      <w:kern w:val="0"/>
      <w:sz w:val="21"/>
      <w:szCs w:val="21"/>
      <w:lang w:bidi="ar-SA"/>
    </w:rPr>
  </w:style>
  <w:style w:type="paragraph" w:styleId="a6">
    <w:name w:val="List Paragraph"/>
    <w:basedOn w:val="a"/>
    <w:uiPriority w:val="34"/>
    <w:qFormat/>
    <w:rsid w:val="00B31C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992</Characters>
  <Application>Microsoft Office Word</Application>
  <DocSecurity>0</DocSecurity>
  <Lines>8</Lines>
  <Paragraphs>2</Paragraphs>
  <ScaleCrop>false</ScaleCrop>
  <Company>sdb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Gao</dc:creator>
  <cp:keywords/>
  <dc:description/>
  <cp:lastModifiedBy>Lillian Gao</cp:lastModifiedBy>
  <cp:revision>4</cp:revision>
  <dcterms:created xsi:type="dcterms:W3CDTF">2013-08-26T08:40:00Z</dcterms:created>
  <dcterms:modified xsi:type="dcterms:W3CDTF">2013-08-26T08:43:00Z</dcterms:modified>
</cp:coreProperties>
</file>