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Default="00EE1C10" w:rsidP="00C35BCB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证券代码：000001                                  证券简称：</w:t>
      </w:r>
      <w:r w:rsidR="00D96584">
        <w:rPr>
          <w:rFonts w:ascii="宋体" w:hAnsi="宋体" w:hint="eastAsia"/>
          <w:bCs/>
          <w:iCs/>
          <w:color w:val="000000"/>
          <w:sz w:val="24"/>
        </w:rPr>
        <w:t>平安银行</w:t>
      </w:r>
    </w:p>
    <w:p w:rsidR="00EE1C10" w:rsidRDefault="003317E5" w:rsidP="00C35BCB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平安</w:t>
      </w:r>
      <w:r w:rsidR="00EE1C10">
        <w:rPr>
          <w:rFonts w:ascii="宋体" w:hAnsi="宋体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Default="00EE1C10" w:rsidP="00EE1C1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43629D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E1C10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EE1C1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E1C1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535D6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535D6F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" w:char="F0FE"/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EE1C10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E1C10" w:rsidRDefault="00B31C4E" w:rsidP="00B31C4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E1C10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43629D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3629D">
              <w:rPr>
                <w:rFonts w:ascii="宋体" w:hAnsi="宋体"/>
                <w:bCs/>
                <w:iCs/>
                <w:color w:val="000000"/>
                <w:sz w:val="24"/>
              </w:rPr>
              <w:t>券商、基金等各类投资者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43629D" w:rsidP="00535D6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2013年</w:t>
            </w:r>
            <w:r w:rsidR="00535D6F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B31C4E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535D6F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B31C4E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535D6F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北京、上海、广州、深圳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B31C4E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535D6F" w:rsidRPr="00535D6F" w:rsidRDefault="00535D6F" w:rsidP="00535D6F">
            <w:pPr>
              <w:widowControl/>
              <w:numPr>
                <w:ilvl w:val="1"/>
                <w:numId w:val="2"/>
              </w:numPr>
              <w:tabs>
                <w:tab w:val="clear" w:pos="420"/>
                <w:tab w:val="num" w:pos="360"/>
              </w:tabs>
              <w:snapToGrid w:val="0"/>
              <w:spacing w:beforeLines="50" w:line="288" w:lineRule="auto"/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535D6F">
              <w:rPr>
                <w:rFonts w:asciiTheme="minorEastAsia" w:eastAsiaTheme="minorEastAsia" w:hAnsiTheme="minorEastAsia" w:hint="eastAsia"/>
                <w:sz w:val="24"/>
              </w:rPr>
              <w:t>营业收入234.26亿元，同比增长19.36%；实现归属于母公司的净利润75.31亿元，同比增长11.39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%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535D6F" w:rsidDel="000C3A4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535D6F" w:rsidRPr="00535D6F" w:rsidRDefault="00535D6F" w:rsidP="00535D6F">
            <w:pPr>
              <w:widowControl/>
              <w:numPr>
                <w:ilvl w:val="1"/>
                <w:numId w:val="2"/>
              </w:numPr>
              <w:tabs>
                <w:tab w:val="clear" w:pos="420"/>
                <w:tab w:val="num" w:pos="360"/>
              </w:tabs>
              <w:snapToGrid w:val="0"/>
              <w:spacing w:beforeLines="50" w:line="288" w:lineRule="auto"/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535D6F">
              <w:rPr>
                <w:rFonts w:asciiTheme="minorEastAsia" w:eastAsiaTheme="minorEastAsia" w:hAnsiTheme="minorEastAsia" w:hint="eastAsia"/>
                <w:sz w:val="24"/>
              </w:rPr>
              <w:t>手续费及佣金净收入43.76亿元，同比增长57.47%，手续费收入占比提升至18.68%，非利息净收入48.98亿元，同比增长41.19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%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，在营业收入中的占比提升至20.91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%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。第二季度结构调整初见成效，存</w:t>
            </w:r>
            <w:proofErr w:type="gramStart"/>
            <w:r w:rsidRPr="00535D6F">
              <w:rPr>
                <w:rFonts w:asciiTheme="minorEastAsia" w:eastAsiaTheme="minorEastAsia" w:hAnsiTheme="minorEastAsia" w:hint="eastAsia"/>
                <w:sz w:val="24"/>
              </w:rPr>
              <w:t>贷差较一季度</w:t>
            </w:r>
            <w:proofErr w:type="gramEnd"/>
            <w:r w:rsidRPr="00535D6F">
              <w:rPr>
                <w:rFonts w:asciiTheme="minorEastAsia" w:eastAsiaTheme="minorEastAsia" w:hAnsiTheme="minorEastAsia" w:hint="eastAsia"/>
                <w:sz w:val="24"/>
              </w:rPr>
              <w:t>上升9bp至4.20%，净</w:t>
            </w:r>
            <w:proofErr w:type="gramStart"/>
            <w:r w:rsidRPr="00535D6F">
              <w:rPr>
                <w:rFonts w:asciiTheme="minorEastAsia" w:eastAsiaTheme="minorEastAsia" w:hAnsiTheme="minorEastAsia" w:hint="eastAsia"/>
                <w:sz w:val="24"/>
              </w:rPr>
              <w:t>息差较一季度</w:t>
            </w:r>
            <w:proofErr w:type="gramEnd"/>
            <w:r w:rsidRPr="00535D6F">
              <w:rPr>
                <w:rFonts w:asciiTheme="minorEastAsia" w:eastAsiaTheme="minorEastAsia" w:hAnsiTheme="minorEastAsia" w:hint="eastAsia"/>
                <w:sz w:val="24"/>
              </w:rPr>
              <w:t>上升1bp至2.19%。</w:t>
            </w:r>
          </w:p>
          <w:p w:rsidR="00535D6F" w:rsidRPr="00535D6F" w:rsidRDefault="00535D6F" w:rsidP="00535D6F">
            <w:pPr>
              <w:widowControl/>
              <w:numPr>
                <w:ilvl w:val="1"/>
                <w:numId w:val="2"/>
              </w:numPr>
              <w:tabs>
                <w:tab w:val="clear" w:pos="420"/>
                <w:tab w:val="num" w:pos="360"/>
              </w:tabs>
              <w:snapToGrid w:val="0"/>
              <w:spacing w:beforeLines="50" w:line="288" w:lineRule="auto"/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535D6F">
              <w:rPr>
                <w:rFonts w:asciiTheme="minorEastAsia" w:eastAsiaTheme="minorEastAsia" w:hAnsiTheme="minorEastAsia" w:hint="eastAsia"/>
                <w:sz w:val="24"/>
              </w:rPr>
              <w:t>资产总额18,270亿元，较年初增长13.72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%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；贷款总额（含贴现）7,865亿元，较年初增长9.12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%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；存款总额11,754亿元，较年初增长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15.11%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。同业资产负债与一季度末相比进行了有效压缩。贴现较年初下降14.57%。一般性贷款较年初增长8.64%，其中，一般性公司贷款较年初增长1.24%，零售贷款增长1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9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.26%，信用卡应收账款增长54.77%。总存款较年初增长15.11%，公司存款增长为15.06%和零售存款增长为15.31%。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投行业务投融资总额达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934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亿元，实现投行中间业务收入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5.51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亿元、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托管费收入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2.84亿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元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535D6F" w:rsidRPr="00535D6F" w:rsidRDefault="00535D6F" w:rsidP="00535D6F">
            <w:pPr>
              <w:widowControl/>
              <w:numPr>
                <w:ilvl w:val="1"/>
                <w:numId w:val="2"/>
              </w:numPr>
              <w:tabs>
                <w:tab w:val="clear" w:pos="420"/>
                <w:tab w:val="num" w:pos="360"/>
              </w:tabs>
              <w:snapToGrid w:val="0"/>
              <w:spacing w:beforeLines="50" w:line="288" w:lineRule="auto"/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535D6F">
              <w:rPr>
                <w:rFonts w:asciiTheme="minorEastAsia" w:eastAsiaTheme="minorEastAsia" w:hAnsiTheme="minorEastAsia" w:hint="eastAsia"/>
                <w:sz w:val="24"/>
              </w:rPr>
              <w:t>小</w:t>
            </w:r>
            <w:proofErr w:type="gramStart"/>
            <w:r w:rsidRPr="00535D6F">
              <w:rPr>
                <w:rFonts w:asciiTheme="minorEastAsia" w:eastAsiaTheme="minorEastAsia" w:hAnsiTheme="minorEastAsia" w:hint="eastAsia"/>
                <w:sz w:val="24"/>
              </w:rPr>
              <w:t>微贷款</w:t>
            </w:r>
            <w:proofErr w:type="gramEnd"/>
            <w:r w:rsidRPr="00535D6F">
              <w:rPr>
                <w:rFonts w:asciiTheme="minorEastAsia" w:eastAsiaTheme="minorEastAsia" w:hAnsiTheme="minorEastAsia" w:hint="eastAsia"/>
                <w:sz w:val="24"/>
              </w:rPr>
              <w:t>余额732.07亿元，较年初增长31.12%，不良率0.87%；信用卡贷款余额769.6亿元，较年初增长54.77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%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，信用卡</w:t>
            </w:r>
            <w:proofErr w:type="gramStart"/>
            <w:r w:rsidRPr="00535D6F">
              <w:rPr>
                <w:rFonts w:asciiTheme="minorEastAsia" w:eastAsiaTheme="minorEastAsia" w:hAnsiTheme="minorEastAsia" w:hint="eastAsia"/>
                <w:sz w:val="24"/>
              </w:rPr>
              <w:t>流通卡</w:t>
            </w:r>
            <w:proofErr w:type="gramEnd"/>
            <w:r w:rsidRPr="00535D6F">
              <w:rPr>
                <w:rFonts w:asciiTheme="minorEastAsia" w:eastAsiaTheme="minorEastAsia" w:hAnsiTheme="minorEastAsia" w:hint="eastAsia"/>
                <w:sz w:val="24"/>
              </w:rPr>
              <w:t>量达1230万张，不良率1%。</w:t>
            </w:r>
          </w:p>
          <w:p w:rsidR="00535D6F" w:rsidRPr="00535D6F" w:rsidRDefault="00535D6F" w:rsidP="00535D6F">
            <w:pPr>
              <w:widowControl/>
              <w:numPr>
                <w:ilvl w:val="1"/>
                <w:numId w:val="2"/>
              </w:numPr>
              <w:tabs>
                <w:tab w:val="clear" w:pos="420"/>
                <w:tab w:val="num" w:pos="360"/>
              </w:tabs>
              <w:snapToGrid w:val="0"/>
              <w:spacing w:beforeLines="50" w:line="288" w:lineRule="auto"/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535D6F">
              <w:rPr>
                <w:rFonts w:asciiTheme="minorEastAsia" w:eastAsiaTheme="minorEastAsia" w:hAnsiTheme="minorEastAsia" w:hint="eastAsia"/>
                <w:sz w:val="24"/>
              </w:rPr>
              <w:t>不良贷款额76.37亿，不良贷款率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0.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97％，较一季度末下降1bp。关注类贷款占比1.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82%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，较一季度末上升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62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bp。拨备覆盖率183.54%，较一季度末略有上升。上半年清收不良资产总额9.95亿元，其中信贷资产（贷款本金）9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.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03亿元。收回的贷款本金中，已核销贷款1.28亿元，未核销不良贷款7.75亿元；收回额中</w:t>
            </w:r>
            <w:r w:rsidRPr="00535D6F">
              <w:rPr>
                <w:rFonts w:asciiTheme="minorEastAsia" w:eastAsiaTheme="minorEastAsia" w:hAnsiTheme="minorEastAsia"/>
                <w:sz w:val="24"/>
              </w:rPr>
              <w:t>9</w:t>
            </w:r>
            <w:r w:rsidRPr="00535D6F">
              <w:rPr>
                <w:rFonts w:asciiTheme="minorEastAsia" w:eastAsiaTheme="minorEastAsia" w:hAnsiTheme="minorEastAsia" w:hint="eastAsia"/>
                <w:sz w:val="24"/>
              </w:rPr>
              <w:t>8.09%为现金收回，其余为以物抵债方式收回。</w:t>
            </w:r>
          </w:p>
          <w:p w:rsidR="00B31C4E" w:rsidRPr="00B31C4E" w:rsidRDefault="00B31C4E" w:rsidP="00535D6F">
            <w:pPr>
              <w:pStyle w:val="a6"/>
              <w:spacing w:line="480" w:lineRule="atLeast"/>
              <w:ind w:left="420" w:firstLineChars="0" w:firstLine="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A140B8" w:rsidRPr="00F10F65" w:rsidRDefault="00A140B8" w:rsidP="00A140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E1C10" w:rsidRDefault="00A140B8" w:rsidP="00535D6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535D6F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proofErr w:type="gramStart"/>
            <w:r w:rsidR="00535D6F">
              <w:rPr>
                <w:rFonts w:ascii="宋体" w:hAnsi="宋体" w:hint="eastAsia"/>
                <w:bCs/>
                <w:iCs/>
                <w:color w:val="000000"/>
                <w:sz w:val="24"/>
              </w:rPr>
              <w:t>门路演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未签署</w:t>
            </w:r>
            <w:proofErr w:type="gramEnd"/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t>《承诺书》。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CB4AC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公司推荐材料，请参阅</w:t>
            </w:r>
            <w:r w:rsidR="003317E5">
              <w:rPr>
                <w:rFonts w:ascii="宋体" w:hAnsi="宋体" w:hint="eastAsia"/>
                <w:bCs/>
                <w:iCs/>
                <w:color w:val="000000"/>
                <w:sz w:val="24"/>
              </w:rPr>
              <w:t>我行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投资者关系栏目</w:t>
            </w:r>
            <w:r w:rsidR="00CB4AC9">
              <w:rPr>
                <w:rFonts w:ascii="宋体" w:hAnsi="宋体" w:hint="eastAsia"/>
                <w:bCs/>
                <w:iCs/>
                <w:color w:val="000000"/>
                <w:sz w:val="24"/>
              </w:rPr>
              <w:t>bank.pingan.com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761259" w:rsidP="00535D6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2013.</w:t>
            </w:r>
            <w:r w:rsidR="00535D6F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535D6F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</w:p>
        </w:tc>
      </w:tr>
    </w:tbl>
    <w:p w:rsidR="00EE1C10" w:rsidRDefault="00EE1C10" w:rsidP="00EE1C10">
      <w:pPr>
        <w:jc w:val="center"/>
        <w:rPr>
          <w:rFonts w:ascii="宋体" w:hAnsi="宋体"/>
          <w:sz w:val="28"/>
          <w:szCs w:val="28"/>
        </w:rPr>
      </w:pPr>
    </w:p>
    <w:p w:rsidR="00941F1C" w:rsidRDefault="00941F1C"/>
    <w:sectPr w:rsidR="00941F1C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74" w:rsidRDefault="00471474" w:rsidP="00D96584">
      <w:r>
        <w:separator/>
      </w:r>
    </w:p>
  </w:endnote>
  <w:endnote w:type="continuationSeparator" w:id="0">
    <w:p w:rsidR="00471474" w:rsidRDefault="00471474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74" w:rsidRDefault="00471474" w:rsidP="00D96584">
      <w:r>
        <w:separator/>
      </w:r>
    </w:p>
  </w:footnote>
  <w:footnote w:type="continuationSeparator" w:id="0">
    <w:p w:rsidR="00471474" w:rsidRDefault="00471474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B3693"/>
    <w:rsid w:val="00101C48"/>
    <w:rsid w:val="0015535F"/>
    <w:rsid w:val="001B33AC"/>
    <w:rsid w:val="001D2529"/>
    <w:rsid w:val="003317E5"/>
    <w:rsid w:val="003B107D"/>
    <w:rsid w:val="0043629D"/>
    <w:rsid w:val="00471474"/>
    <w:rsid w:val="00535D6F"/>
    <w:rsid w:val="00550FD9"/>
    <w:rsid w:val="00623A26"/>
    <w:rsid w:val="0063326E"/>
    <w:rsid w:val="00761259"/>
    <w:rsid w:val="008A4E3E"/>
    <w:rsid w:val="00941F1C"/>
    <w:rsid w:val="00951547"/>
    <w:rsid w:val="00A140B8"/>
    <w:rsid w:val="00B31C4E"/>
    <w:rsid w:val="00C35BCB"/>
    <w:rsid w:val="00C81677"/>
    <w:rsid w:val="00CB4AC9"/>
    <w:rsid w:val="00D96584"/>
    <w:rsid w:val="00E733AB"/>
    <w:rsid w:val="00EE1C10"/>
    <w:rsid w:val="00EE4F68"/>
    <w:rsid w:val="00F1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1027</Characters>
  <Application>Microsoft Office Word</Application>
  <DocSecurity>0</DocSecurity>
  <Lines>8</Lines>
  <Paragraphs>2</Paragraphs>
  <ScaleCrop>false</ScaleCrop>
  <Company>sdb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Lillian Gao</cp:lastModifiedBy>
  <cp:revision>3</cp:revision>
  <dcterms:created xsi:type="dcterms:W3CDTF">2013-10-09T03:30:00Z</dcterms:created>
  <dcterms:modified xsi:type="dcterms:W3CDTF">2013-10-09T03:33:00Z</dcterms:modified>
</cp:coreProperties>
</file>