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FF0263" w:rsidRDefault="00EE1C10" w:rsidP="00AB67BB">
      <w:pPr>
        <w:spacing w:beforeLines="50" w:afterLines="50" w:line="400" w:lineRule="exact"/>
        <w:rPr>
          <w:bCs/>
          <w:iCs/>
          <w:color w:val="000000"/>
          <w:sz w:val="24"/>
        </w:rPr>
      </w:pPr>
      <w:r w:rsidRPr="00FF0263">
        <w:rPr>
          <w:rFonts w:hAnsiTheme="minorEastAsia" w:hint="eastAsia"/>
          <w:bCs/>
          <w:iCs/>
          <w:color w:val="000000"/>
          <w:sz w:val="24"/>
        </w:rPr>
        <w:t>证券代码：</w:t>
      </w:r>
      <w:r w:rsidRPr="00FF0263">
        <w:rPr>
          <w:rFonts w:hint="eastAsia"/>
          <w:bCs/>
          <w:iCs/>
          <w:color w:val="000000"/>
          <w:sz w:val="24"/>
        </w:rPr>
        <w:t xml:space="preserve">000001                                  </w:t>
      </w:r>
      <w:r w:rsidRPr="00FF0263">
        <w:rPr>
          <w:rFonts w:hAnsiTheme="minorEastAsia" w:hint="eastAsia"/>
          <w:bCs/>
          <w:iCs/>
          <w:color w:val="000000"/>
          <w:sz w:val="24"/>
        </w:rPr>
        <w:t>证券简称：</w:t>
      </w:r>
      <w:r w:rsidR="00D96584" w:rsidRPr="00FF0263">
        <w:rPr>
          <w:rFonts w:hAnsiTheme="minorEastAsia" w:hint="eastAsia"/>
          <w:bCs/>
          <w:iCs/>
          <w:color w:val="000000"/>
          <w:sz w:val="24"/>
        </w:rPr>
        <w:t>平安银行</w:t>
      </w:r>
    </w:p>
    <w:p w:rsidR="00EE1C10" w:rsidRPr="00FF0263" w:rsidRDefault="003317E5" w:rsidP="00AB67BB">
      <w:pPr>
        <w:spacing w:beforeLines="50" w:afterLines="50" w:line="400" w:lineRule="exact"/>
        <w:jc w:val="center"/>
        <w:rPr>
          <w:b/>
          <w:bCs/>
          <w:iCs/>
          <w:color w:val="000000"/>
          <w:sz w:val="32"/>
          <w:szCs w:val="32"/>
        </w:rPr>
      </w:pPr>
      <w:r w:rsidRPr="00FF0263">
        <w:rPr>
          <w:rFonts w:hAnsiTheme="minorEastAsia" w:hint="eastAsia"/>
          <w:b/>
          <w:bCs/>
          <w:iCs/>
          <w:color w:val="000000"/>
          <w:sz w:val="32"/>
          <w:szCs w:val="32"/>
        </w:rPr>
        <w:t>平安</w:t>
      </w:r>
      <w:r w:rsidR="00EE1C10" w:rsidRPr="00FF0263">
        <w:rPr>
          <w:rFonts w:hAnsiTheme="minorEastAsia" w:hint="eastAsia"/>
          <w:b/>
          <w:bCs/>
          <w:iCs/>
          <w:color w:val="000000"/>
          <w:sz w:val="32"/>
          <w:szCs w:val="32"/>
        </w:rPr>
        <w:t>银行股份有限公司投资者关系活动记录表</w:t>
      </w:r>
    </w:p>
    <w:p w:rsidR="00EE1C10" w:rsidRPr="00FF0263" w:rsidRDefault="00EE1C10" w:rsidP="00EE1C10">
      <w:pPr>
        <w:spacing w:line="400" w:lineRule="exact"/>
        <w:rPr>
          <w:bCs/>
          <w:iCs/>
          <w:color w:val="000000"/>
          <w:sz w:val="24"/>
        </w:rPr>
      </w:pPr>
      <w:r w:rsidRPr="00FF0263">
        <w:rPr>
          <w:rFonts w:hint="eastAsia"/>
          <w:bCs/>
          <w:iCs/>
          <w:color w:val="000000"/>
          <w:sz w:val="24"/>
        </w:rPr>
        <w:t xml:space="preserve">                                                         </w:t>
      </w:r>
      <w:r w:rsidRPr="00FF0263">
        <w:rPr>
          <w:rFonts w:hAnsiTheme="minorEastAsia" w:hint="eastAsia"/>
          <w:bCs/>
          <w:iCs/>
          <w:color w:val="000000"/>
          <w:sz w:val="24"/>
        </w:rPr>
        <w:t>编号：</w:t>
      </w:r>
    </w:p>
    <w:tbl>
      <w:tblPr>
        <w:tblStyle w:val="a3"/>
        <w:tblW w:w="0" w:type="auto"/>
        <w:tblLook w:val="01E0"/>
      </w:tblPr>
      <w:tblGrid>
        <w:gridCol w:w="1908"/>
        <w:gridCol w:w="6614"/>
      </w:tblGrid>
      <w:tr w:rsidR="00EE1C10" w:rsidRPr="00FF0263" w:rsidTr="00B07D0C">
        <w:tc>
          <w:tcPr>
            <w:tcW w:w="1908" w:type="dxa"/>
            <w:tcBorders>
              <w:top w:val="single" w:sz="4" w:space="0" w:color="auto"/>
              <w:left w:val="single" w:sz="4" w:space="0" w:color="auto"/>
              <w:bottom w:val="single" w:sz="4" w:space="0" w:color="auto"/>
              <w:right w:val="single" w:sz="4" w:space="0" w:color="auto"/>
            </w:tcBorders>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t>投资者关系活动类别</w:t>
            </w:r>
          </w:p>
          <w:p w:rsidR="00EE1C10" w:rsidRPr="00FF0263" w:rsidRDefault="00EE1C10" w:rsidP="00B07D0C">
            <w:pPr>
              <w:spacing w:line="480" w:lineRule="atLeas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FF0263" w:rsidRDefault="00FF0263" w:rsidP="00B07D0C">
            <w:pPr>
              <w:spacing w:line="480" w:lineRule="atLeast"/>
              <w:rPr>
                <w:bCs/>
                <w:iCs/>
                <w:color w:val="000000"/>
                <w:sz w:val="24"/>
              </w:rPr>
            </w:pPr>
            <w:r w:rsidRPr="00FF0263">
              <w:rPr>
                <w:rFonts w:hint="eastAsia"/>
                <w:bCs/>
                <w:iCs/>
                <w:color w:val="000000"/>
                <w:sz w:val="24"/>
              </w:rPr>
              <w:sym w:font="Wingdings" w:char="F0FE"/>
            </w:r>
            <w:r w:rsidR="00EE1C10" w:rsidRPr="00FF0263">
              <w:rPr>
                <w:rFonts w:hAnsiTheme="minorEastAsia" w:hint="eastAsia"/>
                <w:sz w:val="28"/>
                <w:szCs w:val="28"/>
              </w:rPr>
              <w:t>特定对象调研</w:t>
            </w:r>
            <w:r w:rsidR="00EE1C10" w:rsidRPr="00FF0263">
              <w:rPr>
                <w:rFonts w:hint="eastAsia"/>
                <w:sz w:val="28"/>
                <w:szCs w:val="28"/>
              </w:rPr>
              <w:t xml:space="preserve">        </w:t>
            </w:r>
            <w:r w:rsidR="00EE1C10" w:rsidRPr="00FF0263">
              <w:rPr>
                <w:rFonts w:hint="eastAsia"/>
                <w:bCs/>
                <w:iCs/>
                <w:color w:val="000000"/>
                <w:sz w:val="24"/>
              </w:rPr>
              <w:t>□</w:t>
            </w:r>
            <w:r w:rsidR="00EE1C10" w:rsidRPr="00FF0263">
              <w:rPr>
                <w:rFonts w:hAnsiTheme="minorEastAsia" w:hint="eastAsia"/>
                <w:sz w:val="28"/>
                <w:szCs w:val="28"/>
              </w:rPr>
              <w:t>分析师会议</w:t>
            </w:r>
          </w:p>
          <w:p w:rsidR="00EE1C10" w:rsidRPr="00FF0263" w:rsidRDefault="00EE1C10" w:rsidP="00B07D0C">
            <w:pPr>
              <w:spacing w:line="480" w:lineRule="atLeast"/>
              <w:rPr>
                <w:bCs/>
                <w:iCs/>
                <w:color w:val="000000"/>
                <w:sz w:val="24"/>
              </w:rPr>
            </w:pPr>
            <w:r w:rsidRPr="00FF0263">
              <w:rPr>
                <w:rFonts w:hint="eastAsia"/>
                <w:bCs/>
                <w:iCs/>
                <w:color w:val="000000"/>
                <w:sz w:val="24"/>
              </w:rPr>
              <w:t>□</w:t>
            </w:r>
            <w:r w:rsidRPr="00FF0263">
              <w:rPr>
                <w:rFonts w:hAnsiTheme="minorEastAsia" w:hint="eastAsia"/>
                <w:sz w:val="28"/>
                <w:szCs w:val="28"/>
              </w:rPr>
              <w:t>媒体采访</w:t>
            </w:r>
            <w:r w:rsidRPr="00FF0263">
              <w:rPr>
                <w:rFonts w:hint="eastAsia"/>
                <w:sz w:val="28"/>
                <w:szCs w:val="28"/>
              </w:rPr>
              <w:t xml:space="preserve">            </w:t>
            </w:r>
            <w:r w:rsidR="00FF0263" w:rsidRPr="00FF0263">
              <w:rPr>
                <w:rFonts w:hint="eastAsia"/>
                <w:bCs/>
                <w:iCs/>
                <w:color w:val="000000"/>
                <w:sz w:val="24"/>
              </w:rPr>
              <w:t>□</w:t>
            </w:r>
            <w:r w:rsidRPr="00FF0263">
              <w:rPr>
                <w:rFonts w:hAnsiTheme="minorEastAsia" w:hint="eastAsia"/>
                <w:sz w:val="28"/>
                <w:szCs w:val="28"/>
              </w:rPr>
              <w:t>业绩说明会</w:t>
            </w:r>
          </w:p>
          <w:p w:rsidR="00EE1C10" w:rsidRPr="00FF0263" w:rsidRDefault="00EE1C10" w:rsidP="00B07D0C">
            <w:pPr>
              <w:spacing w:line="480" w:lineRule="atLeast"/>
              <w:rPr>
                <w:bCs/>
                <w:iCs/>
                <w:color w:val="000000"/>
                <w:sz w:val="24"/>
              </w:rPr>
            </w:pPr>
            <w:r w:rsidRPr="00FF0263">
              <w:rPr>
                <w:rFonts w:hint="eastAsia"/>
                <w:bCs/>
                <w:iCs/>
                <w:color w:val="000000"/>
                <w:sz w:val="24"/>
              </w:rPr>
              <w:t>□</w:t>
            </w:r>
            <w:r w:rsidRPr="00FF0263">
              <w:rPr>
                <w:rFonts w:hAnsiTheme="minorEastAsia" w:hint="eastAsia"/>
                <w:sz w:val="28"/>
                <w:szCs w:val="28"/>
              </w:rPr>
              <w:t>新闻发布会</w:t>
            </w:r>
            <w:r w:rsidRPr="00FF0263">
              <w:rPr>
                <w:rFonts w:hint="eastAsia"/>
                <w:sz w:val="28"/>
                <w:szCs w:val="28"/>
              </w:rPr>
              <w:t xml:space="preserve">          </w:t>
            </w:r>
            <w:r w:rsidR="00D87038" w:rsidRPr="00FF0263">
              <w:rPr>
                <w:rFonts w:hint="eastAsia"/>
                <w:bCs/>
                <w:iCs/>
                <w:color w:val="000000"/>
                <w:sz w:val="24"/>
              </w:rPr>
              <w:t>□</w:t>
            </w:r>
            <w:r w:rsidRPr="00FF0263">
              <w:rPr>
                <w:rFonts w:hAnsiTheme="minorEastAsia" w:hint="eastAsia"/>
                <w:sz w:val="28"/>
                <w:szCs w:val="28"/>
              </w:rPr>
              <w:t>路演活动</w:t>
            </w:r>
          </w:p>
          <w:p w:rsidR="00EE1C10" w:rsidRPr="00FF0263" w:rsidRDefault="00EE1C10" w:rsidP="00B07D0C">
            <w:pPr>
              <w:tabs>
                <w:tab w:val="left" w:pos="3045"/>
                <w:tab w:val="center" w:pos="3199"/>
              </w:tabs>
              <w:spacing w:line="480" w:lineRule="atLeast"/>
              <w:rPr>
                <w:bCs/>
                <w:iCs/>
                <w:color w:val="000000"/>
                <w:sz w:val="24"/>
              </w:rPr>
            </w:pPr>
            <w:r w:rsidRPr="00FF0263">
              <w:rPr>
                <w:rFonts w:hint="eastAsia"/>
                <w:bCs/>
                <w:iCs/>
                <w:color w:val="000000"/>
                <w:sz w:val="24"/>
              </w:rPr>
              <w:t>□</w:t>
            </w:r>
            <w:r w:rsidRPr="00FF0263">
              <w:rPr>
                <w:rFonts w:hAnsiTheme="minorEastAsia" w:hint="eastAsia"/>
                <w:sz w:val="28"/>
                <w:szCs w:val="28"/>
              </w:rPr>
              <w:t>现场参观</w:t>
            </w:r>
            <w:r w:rsidRPr="00FF0263">
              <w:rPr>
                <w:rFonts w:hint="eastAsia"/>
                <w:bCs/>
                <w:iCs/>
                <w:color w:val="000000"/>
                <w:sz w:val="24"/>
              </w:rPr>
              <w:tab/>
            </w:r>
          </w:p>
          <w:p w:rsidR="00EE1C10" w:rsidRPr="00FF0263" w:rsidRDefault="00217D1A" w:rsidP="00217D1A">
            <w:pPr>
              <w:tabs>
                <w:tab w:val="center" w:pos="3199"/>
              </w:tabs>
              <w:spacing w:line="480" w:lineRule="atLeast"/>
              <w:rPr>
                <w:bCs/>
                <w:iCs/>
                <w:color w:val="000000"/>
                <w:sz w:val="24"/>
              </w:rPr>
            </w:pPr>
            <w:r w:rsidRPr="00FF0263">
              <w:rPr>
                <w:rFonts w:hint="eastAsia"/>
                <w:bCs/>
                <w:iCs/>
                <w:color w:val="000000"/>
                <w:sz w:val="24"/>
              </w:rPr>
              <w:t>□</w:t>
            </w:r>
            <w:r w:rsidR="00EE1C10" w:rsidRPr="00FF0263">
              <w:rPr>
                <w:rFonts w:hAnsiTheme="minorEastAsia" w:hint="eastAsia"/>
                <w:sz w:val="28"/>
                <w:szCs w:val="28"/>
              </w:rPr>
              <w:t>其他</w:t>
            </w:r>
          </w:p>
        </w:tc>
      </w:tr>
      <w:tr w:rsidR="00EE1C10" w:rsidRPr="00FF0263" w:rsidTr="00B07D0C">
        <w:tc>
          <w:tcPr>
            <w:tcW w:w="1908" w:type="dxa"/>
            <w:tcBorders>
              <w:top w:val="single" w:sz="4" w:space="0" w:color="auto"/>
              <w:left w:val="single" w:sz="4" w:space="0" w:color="auto"/>
              <w:bottom w:val="single" w:sz="4" w:space="0" w:color="auto"/>
              <w:right w:val="single" w:sz="4" w:space="0" w:color="auto"/>
            </w:tcBorders>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FF0263" w:rsidRDefault="00FF0263" w:rsidP="00B84A84">
            <w:pPr>
              <w:spacing w:line="480" w:lineRule="atLeast"/>
              <w:rPr>
                <w:bCs/>
                <w:iCs/>
                <w:color w:val="000000"/>
                <w:sz w:val="24"/>
              </w:rPr>
            </w:pPr>
            <w:r w:rsidRPr="00FF0263">
              <w:rPr>
                <w:rFonts w:hAnsiTheme="minorEastAsia" w:hint="eastAsia"/>
                <w:bCs/>
                <w:iCs/>
                <w:color w:val="000000"/>
                <w:sz w:val="24"/>
              </w:rPr>
              <w:t>海通证券及国内主要基金</w:t>
            </w:r>
          </w:p>
        </w:tc>
      </w:tr>
      <w:tr w:rsidR="00EE1C10" w:rsidRPr="00FF0263" w:rsidTr="00B07D0C">
        <w:tc>
          <w:tcPr>
            <w:tcW w:w="1908" w:type="dxa"/>
            <w:tcBorders>
              <w:top w:val="single" w:sz="4" w:space="0" w:color="auto"/>
              <w:left w:val="single" w:sz="4" w:space="0" w:color="auto"/>
              <w:bottom w:val="single" w:sz="4" w:space="0" w:color="auto"/>
              <w:right w:val="single" w:sz="4" w:space="0" w:color="auto"/>
            </w:tcBorders>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FF0263" w:rsidRDefault="0043629D" w:rsidP="00FF0263">
            <w:pPr>
              <w:spacing w:line="480" w:lineRule="atLeast"/>
              <w:rPr>
                <w:bCs/>
                <w:iCs/>
                <w:color w:val="000000"/>
                <w:sz w:val="24"/>
              </w:rPr>
            </w:pPr>
            <w:r w:rsidRPr="00FF0263">
              <w:rPr>
                <w:rFonts w:hint="eastAsia"/>
                <w:bCs/>
                <w:iCs/>
                <w:color w:val="000000"/>
                <w:sz w:val="24"/>
              </w:rPr>
              <w:t>201</w:t>
            </w:r>
            <w:r w:rsidR="00B84A84" w:rsidRPr="00FF0263">
              <w:rPr>
                <w:rFonts w:hint="eastAsia"/>
                <w:bCs/>
                <w:iCs/>
                <w:color w:val="000000"/>
                <w:sz w:val="24"/>
              </w:rPr>
              <w:t>4</w:t>
            </w:r>
            <w:r w:rsidRPr="00FF0263">
              <w:rPr>
                <w:rFonts w:hAnsiTheme="minorEastAsia" w:hint="eastAsia"/>
                <w:bCs/>
                <w:iCs/>
                <w:color w:val="000000"/>
                <w:sz w:val="24"/>
              </w:rPr>
              <w:t>年</w:t>
            </w:r>
            <w:r w:rsidR="00FF0263" w:rsidRPr="00FF0263">
              <w:rPr>
                <w:rFonts w:hint="eastAsia"/>
                <w:bCs/>
                <w:iCs/>
                <w:color w:val="000000"/>
                <w:sz w:val="24"/>
              </w:rPr>
              <w:t>4</w:t>
            </w:r>
            <w:r w:rsidRPr="00FF0263">
              <w:rPr>
                <w:rFonts w:hAnsiTheme="minorEastAsia" w:hint="eastAsia"/>
                <w:bCs/>
                <w:iCs/>
                <w:color w:val="000000"/>
                <w:sz w:val="24"/>
              </w:rPr>
              <w:t>月</w:t>
            </w:r>
            <w:r w:rsidR="00FF0263" w:rsidRPr="00FF0263">
              <w:rPr>
                <w:rFonts w:hint="eastAsia"/>
                <w:bCs/>
                <w:iCs/>
                <w:color w:val="000000"/>
                <w:sz w:val="24"/>
              </w:rPr>
              <w:t>25</w:t>
            </w:r>
            <w:r w:rsidRPr="00FF0263">
              <w:rPr>
                <w:rFonts w:hAnsiTheme="minorEastAsia" w:hint="eastAsia"/>
                <w:bCs/>
                <w:iCs/>
                <w:color w:val="000000"/>
                <w:sz w:val="24"/>
              </w:rPr>
              <w:t>日</w:t>
            </w:r>
          </w:p>
        </w:tc>
      </w:tr>
      <w:tr w:rsidR="00EE1C10" w:rsidRPr="00FF0263" w:rsidTr="00B07D0C">
        <w:tc>
          <w:tcPr>
            <w:tcW w:w="1908" w:type="dxa"/>
            <w:tcBorders>
              <w:top w:val="single" w:sz="4" w:space="0" w:color="auto"/>
              <w:left w:val="single" w:sz="4" w:space="0" w:color="auto"/>
              <w:bottom w:val="single" w:sz="4" w:space="0" w:color="auto"/>
              <w:right w:val="single" w:sz="4" w:space="0" w:color="auto"/>
            </w:tcBorders>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FF0263" w:rsidRDefault="00217D1A" w:rsidP="00B07D0C">
            <w:pPr>
              <w:spacing w:line="480" w:lineRule="atLeast"/>
              <w:rPr>
                <w:bCs/>
                <w:iCs/>
                <w:color w:val="000000"/>
                <w:sz w:val="24"/>
              </w:rPr>
            </w:pPr>
            <w:r w:rsidRPr="00FF0263">
              <w:rPr>
                <w:rFonts w:hAnsiTheme="minorEastAsia" w:hint="eastAsia"/>
                <w:bCs/>
                <w:iCs/>
                <w:color w:val="000000"/>
                <w:sz w:val="24"/>
              </w:rPr>
              <w:t>深圳</w:t>
            </w:r>
          </w:p>
        </w:tc>
      </w:tr>
      <w:tr w:rsidR="00EE1C10" w:rsidRPr="00FF0263" w:rsidTr="00B07D0C">
        <w:tc>
          <w:tcPr>
            <w:tcW w:w="1908" w:type="dxa"/>
            <w:tcBorders>
              <w:top w:val="single" w:sz="4" w:space="0" w:color="auto"/>
              <w:left w:val="single" w:sz="4" w:space="0" w:color="auto"/>
              <w:bottom w:val="single" w:sz="4" w:space="0" w:color="auto"/>
              <w:right w:val="single" w:sz="4" w:space="0" w:color="auto"/>
            </w:tcBorders>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FF0263" w:rsidRDefault="00FF0263" w:rsidP="00B07D0C">
            <w:pPr>
              <w:spacing w:line="480" w:lineRule="atLeast"/>
              <w:rPr>
                <w:bCs/>
                <w:iCs/>
                <w:color w:val="000000"/>
                <w:sz w:val="24"/>
              </w:rPr>
            </w:pPr>
            <w:r w:rsidRPr="00FF0263">
              <w:rPr>
                <w:rFonts w:hAnsiTheme="minorEastAsia" w:hint="eastAsia"/>
                <w:bCs/>
                <w:iCs/>
                <w:color w:val="000000"/>
                <w:sz w:val="24"/>
              </w:rPr>
              <w:t>董事会办公室</w:t>
            </w:r>
          </w:p>
        </w:tc>
      </w:tr>
      <w:tr w:rsidR="00EE1C10" w:rsidRPr="00FF0263"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t>投资者关系活动主要内容介绍</w:t>
            </w:r>
          </w:p>
          <w:p w:rsidR="00EE1C10" w:rsidRPr="00FF0263" w:rsidRDefault="00EE1C10" w:rsidP="00B07D0C">
            <w:pPr>
              <w:spacing w:line="480" w:lineRule="atLeas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t>介绍公司发展战略、经营业绩，回答投资者提问</w:t>
            </w:r>
          </w:p>
          <w:p w:rsidR="00D87038" w:rsidRPr="00FF0263" w:rsidRDefault="00D87038" w:rsidP="00B07D0C">
            <w:pPr>
              <w:spacing w:line="480" w:lineRule="atLeast"/>
              <w:rPr>
                <w:bCs/>
                <w:iCs/>
                <w:color w:val="000000"/>
                <w:sz w:val="24"/>
              </w:rPr>
            </w:pPr>
          </w:p>
          <w:p w:rsidR="00FF0263" w:rsidRPr="00FF0263" w:rsidRDefault="00FF0263" w:rsidP="00FF0263">
            <w:pPr>
              <w:numPr>
                <w:ilvl w:val="0"/>
                <w:numId w:val="9"/>
              </w:numPr>
              <w:adjustRightInd w:val="0"/>
              <w:snapToGrid w:val="0"/>
              <w:spacing w:beforeLines="50" w:line="288" w:lineRule="auto"/>
              <w:rPr>
                <w:b/>
                <w:sz w:val="24"/>
              </w:rPr>
            </w:pPr>
            <w:r w:rsidRPr="00FF0263">
              <w:rPr>
                <w:rFonts w:hAnsiTheme="minorEastAsia" w:hint="eastAsia"/>
                <w:b/>
                <w:sz w:val="24"/>
              </w:rPr>
              <w:t>总存款增长显著的原因分析</w:t>
            </w:r>
          </w:p>
          <w:p w:rsidR="00FF0263" w:rsidRPr="00FF0263" w:rsidRDefault="00FF0263" w:rsidP="00FF0263">
            <w:pPr>
              <w:pStyle w:val="CM189ArialGB2312078"/>
              <w:numPr>
                <w:ilvl w:val="0"/>
                <w:numId w:val="11"/>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总体而言是：</w:t>
            </w:r>
            <w:r w:rsidRPr="00FF0263">
              <w:rPr>
                <w:rFonts w:ascii="Times New Roman" w:eastAsia="宋体" w:hAnsi="Times New Roman" w:hint="eastAsia"/>
                <w:bCs/>
                <w:szCs w:val="24"/>
              </w:rPr>
              <w:t>1</w:t>
            </w:r>
            <w:r w:rsidRPr="00FF0263">
              <w:rPr>
                <w:rFonts w:ascii="Times New Roman" w:eastAsia="宋体" w:hint="eastAsia"/>
                <w:bCs/>
                <w:szCs w:val="24"/>
              </w:rPr>
              <w:t>、通过机制、人员调整，激发全行增长动力；</w:t>
            </w:r>
            <w:r w:rsidRPr="00FF0263">
              <w:rPr>
                <w:rFonts w:ascii="Times New Roman" w:eastAsia="宋体" w:hAnsi="Times New Roman" w:hint="eastAsia"/>
                <w:bCs/>
                <w:szCs w:val="24"/>
              </w:rPr>
              <w:t>2</w:t>
            </w:r>
            <w:r w:rsidRPr="00FF0263">
              <w:rPr>
                <w:rFonts w:ascii="Times New Roman" w:eastAsia="宋体" w:hint="eastAsia"/>
                <w:bCs/>
                <w:szCs w:val="24"/>
              </w:rPr>
              <w:t>、通过有效组织，推动各产品事业部做出特色，带动全行存款快速增长（投行、贸易融资、离岸业务、推广对公特色产品）；</w:t>
            </w:r>
            <w:r w:rsidRPr="00FF0263">
              <w:rPr>
                <w:rFonts w:ascii="Times New Roman" w:eastAsia="宋体" w:hAnsi="Times New Roman" w:hint="eastAsia"/>
                <w:bCs/>
                <w:szCs w:val="24"/>
              </w:rPr>
              <w:t>3</w:t>
            </w:r>
            <w:r w:rsidRPr="00FF0263">
              <w:rPr>
                <w:rFonts w:ascii="Times New Roman" w:eastAsia="宋体" w:hint="eastAsia"/>
                <w:bCs/>
                <w:szCs w:val="24"/>
              </w:rPr>
              <w:t>、不断提升综合金融的贡献。</w:t>
            </w:r>
          </w:p>
          <w:p w:rsidR="00FF0263" w:rsidRPr="00FF0263" w:rsidRDefault="00FF0263" w:rsidP="00FF0263">
            <w:pPr>
              <w:pStyle w:val="CM189ArialGB2312078"/>
              <w:numPr>
                <w:ilvl w:val="0"/>
                <w:numId w:val="11"/>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零售方面：</w:t>
            </w:r>
            <w:r w:rsidRPr="00FF0263">
              <w:rPr>
                <w:rFonts w:ascii="Times New Roman" w:eastAsia="宋体" w:hAnsi="Times New Roman" w:hint="eastAsia"/>
                <w:bCs/>
                <w:szCs w:val="24"/>
              </w:rPr>
              <w:t>1</w:t>
            </w:r>
            <w:r w:rsidRPr="00FF0263">
              <w:rPr>
                <w:rFonts w:ascii="Times New Roman" w:eastAsia="宋体" w:hint="eastAsia"/>
                <w:bCs/>
                <w:szCs w:val="24"/>
              </w:rPr>
              <w:t>、以创新产品和结算产品为驱动，短期快速提升客户和存款；</w:t>
            </w:r>
            <w:r w:rsidRPr="00FF0263">
              <w:rPr>
                <w:rFonts w:ascii="Times New Roman" w:eastAsia="宋体" w:hAnsi="Times New Roman" w:hint="eastAsia"/>
                <w:bCs/>
                <w:szCs w:val="24"/>
              </w:rPr>
              <w:t>2</w:t>
            </w:r>
            <w:r w:rsidRPr="00FF0263">
              <w:rPr>
                <w:rFonts w:ascii="Times New Roman" w:eastAsia="宋体" w:hint="eastAsia"/>
                <w:bCs/>
                <w:szCs w:val="24"/>
              </w:rPr>
              <w:t>、落实集团客户迁徙战略，透过专业的服务，实现客户和管理资产超常规增长，带动存款快速、持续增长。</w:t>
            </w:r>
          </w:p>
          <w:p w:rsidR="00FF0263" w:rsidRPr="00FF0263" w:rsidRDefault="00FF0263" w:rsidP="00FF0263">
            <w:pPr>
              <w:pStyle w:val="CM189ArialGB2312078"/>
              <w:numPr>
                <w:ilvl w:val="0"/>
                <w:numId w:val="11"/>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公司方面：</w:t>
            </w:r>
            <w:r w:rsidRPr="00FF0263">
              <w:rPr>
                <w:rFonts w:ascii="Times New Roman" w:eastAsia="宋体" w:hAnsi="Times New Roman"/>
                <w:bCs/>
                <w:szCs w:val="24"/>
              </w:rPr>
              <w:t>1</w:t>
            </w:r>
            <w:r w:rsidRPr="00FF0263">
              <w:rPr>
                <w:rFonts w:ascii="Times New Roman" w:eastAsia="宋体" w:hint="eastAsia"/>
                <w:bCs/>
                <w:szCs w:val="24"/>
              </w:rPr>
              <w:t>、离在岸外币业务发展迅速，一季度外币存款增幅远高于总体存款增长；</w:t>
            </w:r>
            <w:r w:rsidRPr="00FF0263">
              <w:rPr>
                <w:rFonts w:ascii="Times New Roman" w:eastAsia="宋体" w:hAnsi="Times New Roman"/>
                <w:bCs/>
                <w:szCs w:val="24"/>
              </w:rPr>
              <w:t>2</w:t>
            </w:r>
            <w:r w:rsidRPr="00FF0263">
              <w:rPr>
                <w:rFonts w:ascii="Times New Roman" w:eastAsia="宋体" w:hint="eastAsia"/>
                <w:bCs/>
                <w:szCs w:val="24"/>
              </w:rPr>
              <w:t>、内部管理机制</w:t>
            </w:r>
            <w:r w:rsidRPr="00FF0263">
              <w:rPr>
                <w:rFonts w:ascii="Times New Roman" w:eastAsia="宋体" w:hint="eastAsia"/>
                <w:bCs/>
                <w:szCs w:val="24"/>
              </w:rPr>
              <w:lastRenderedPageBreak/>
              <w:t>的系列</w:t>
            </w:r>
            <w:proofErr w:type="gramStart"/>
            <w:r w:rsidRPr="00FF0263">
              <w:rPr>
                <w:rFonts w:ascii="Times New Roman" w:eastAsia="宋体" w:hint="eastAsia"/>
                <w:bCs/>
                <w:szCs w:val="24"/>
              </w:rPr>
              <w:t>变革极</w:t>
            </w:r>
            <w:proofErr w:type="gramEnd"/>
            <w:r w:rsidRPr="00FF0263">
              <w:rPr>
                <w:rFonts w:ascii="Times New Roman" w:eastAsia="宋体" w:hint="eastAsia"/>
                <w:bCs/>
                <w:szCs w:val="24"/>
              </w:rPr>
              <w:t>大激发和释放了业务单位的经营活力，包括总行事业部、</w:t>
            </w:r>
            <w:proofErr w:type="gramStart"/>
            <w:r w:rsidRPr="00FF0263">
              <w:rPr>
                <w:rFonts w:ascii="Times New Roman" w:eastAsia="宋体" w:hint="eastAsia"/>
                <w:bCs/>
                <w:szCs w:val="24"/>
              </w:rPr>
              <w:t>准事业</w:t>
            </w:r>
            <w:proofErr w:type="gramEnd"/>
            <w:r w:rsidRPr="00FF0263">
              <w:rPr>
                <w:rFonts w:ascii="Times New Roman" w:eastAsia="宋体" w:hint="eastAsia"/>
                <w:bCs/>
                <w:szCs w:val="24"/>
              </w:rPr>
              <w:t>部在内都均有较高的存款增长贡献；</w:t>
            </w:r>
            <w:r w:rsidRPr="00FF0263">
              <w:rPr>
                <w:rFonts w:ascii="Times New Roman" w:eastAsia="宋体" w:hAnsi="Times New Roman"/>
                <w:bCs/>
                <w:szCs w:val="24"/>
              </w:rPr>
              <w:t>3</w:t>
            </w:r>
            <w:r w:rsidRPr="00FF0263">
              <w:rPr>
                <w:rFonts w:ascii="Times New Roman" w:eastAsia="宋体" w:hint="eastAsia"/>
                <w:bCs/>
                <w:szCs w:val="24"/>
              </w:rPr>
              <w:t>、产品、模式创新不断和丰富，客户服务能力和市场竞争力进一步提升，包括现金管理、电子政务、阶梯财富、贸易金融等产品，对公司存款增长都有较高贡献。</w:t>
            </w:r>
          </w:p>
          <w:p w:rsidR="00FF0263" w:rsidRPr="00FF0263" w:rsidRDefault="00FF0263" w:rsidP="00FF0263">
            <w:pPr>
              <w:numPr>
                <w:ilvl w:val="0"/>
                <w:numId w:val="9"/>
              </w:numPr>
              <w:adjustRightInd w:val="0"/>
              <w:snapToGrid w:val="0"/>
              <w:spacing w:beforeLines="50" w:line="288" w:lineRule="auto"/>
              <w:rPr>
                <w:b/>
                <w:sz w:val="24"/>
              </w:rPr>
            </w:pPr>
            <w:r w:rsidRPr="00FF0263">
              <w:rPr>
                <w:rFonts w:hAnsiTheme="minorEastAsia" w:hint="eastAsia"/>
                <w:b/>
                <w:sz w:val="24"/>
              </w:rPr>
              <w:t>贷</w:t>
            </w:r>
            <w:proofErr w:type="gramStart"/>
            <w:r w:rsidRPr="00FF0263">
              <w:rPr>
                <w:rFonts w:hAnsiTheme="minorEastAsia" w:hint="eastAsia"/>
                <w:b/>
                <w:sz w:val="24"/>
              </w:rPr>
              <w:t>贷</w:t>
            </w:r>
            <w:proofErr w:type="gramEnd"/>
            <w:r w:rsidRPr="00FF0263">
              <w:rPr>
                <w:rFonts w:hAnsiTheme="minorEastAsia" w:hint="eastAsia"/>
                <w:b/>
                <w:sz w:val="24"/>
              </w:rPr>
              <w:t>平安产品相关</w:t>
            </w:r>
          </w:p>
          <w:p w:rsidR="00FF0263" w:rsidRPr="00FF0263" w:rsidRDefault="00FF0263" w:rsidP="00FF0263">
            <w:pPr>
              <w:pStyle w:val="CM189ArialGB2312078"/>
              <w:numPr>
                <w:ilvl w:val="0"/>
                <w:numId w:val="10"/>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目前发展情况：累计发放贷</w:t>
            </w:r>
            <w:proofErr w:type="gramStart"/>
            <w:r w:rsidRPr="00FF0263">
              <w:rPr>
                <w:rFonts w:ascii="Times New Roman" w:eastAsia="宋体" w:hint="eastAsia"/>
                <w:bCs/>
                <w:szCs w:val="24"/>
              </w:rPr>
              <w:t>贷</w:t>
            </w:r>
            <w:proofErr w:type="gramEnd"/>
            <w:r w:rsidRPr="00FF0263">
              <w:rPr>
                <w:rFonts w:ascii="Times New Roman" w:eastAsia="宋体" w:hint="eastAsia"/>
                <w:bCs/>
                <w:szCs w:val="24"/>
              </w:rPr>
              <w:t>平安商务卡客户数</w:t>
            </w:r>
            <w:r w:rsidRPr="00FF0263">
              <w:rPr>
                <w:rFonts w:ascii="Times New Roman" w:eastAsia="宋体" w:hAnsi="Times New Roman"/>
                <w:bCs/>
                <w:szCs w:val="24"/>
              </w:rPr>
              <w:t>54</w:t>
            </w:r>
            <w:r w:rsidRPr="00FF0263">
              <w:rPr>
                <w:rFonts w:ascii="Times New Roman" w:eastAsia="宋体" w:hAnsi="Times New Roman" w:hint="eastAsia"/>
                <w:bCs/>
                <w:szCs w:val="24"/>
              </w:rPr>
              <w:t>.22</w:t>
            </w:r>
            <w:r w:rsidRPr="00FF0263">
              <w:rPr>
                <w:rFonts w:ascii="Times New Roman" w:eastAsia="宋体" w:hint="eastAsia"/>
                <w:bCs/>
                <w:szCs w:val="24"/>
              </w:rPr>
              <w:t>万户、较年初增长</w:t>
            </w:r>
            <w:r w:rsidRPr="00FF0263">
              <w:rPr>
                <w:rFonts w:ascii="Times New Roman" w:eastAsia="宋体" w:hAnsi="Times New Roman" w:hint="eastAsia"/>
                <w:bCs/>
                <w:szCs w:val="24"/>
              </w:rPr>
              <w:t>54%</w:t>
            </w:r>
            <w:r w:rsidRPr="00FF0263">
              <w:rPr>
                <w:rFonts w:ascii="Times New Roman" w:eastAsia="宋体" w:hint="eastAsia"/>
                <w:bCs/>
                <w:szCs w:val="24"/>
              </w:rPr>
              <w:t>，已批准授信额度</w:t>
            </w:r>
            <w:r w:rsidRPr="00FF0263">
              <w:rPr>
                <w:rFonts w:ascii="Times New Roman" w:eastAsia="宋体" w:hAnsi="Times New Roman"/>
                <w:bCs/>
                <w:szCs w:val="24"/>
              </w:rPr>
              <w:t>279</w:t>
            </w:r>
            <w:r w:rsidRPr="00FF0263">
              <w:rPr>
                <w:rFonts w:ascii="Times New Roman" w:eastAsia="宋体" w:hint="eastAsia"/>
                <w:bCs/>
                <w:szCs w:val="24"/>
              </w:rPr>
              <w:t>亿元、授信客户数</w:t>
            </w:r>
            <w:r w:rsidRPr="00FF0263">
              <w:rPr>
                <w:rFonts w:ascii="Times New Roman" w:eastAsia="宋体" w:hAnsi="Times New Roman"/>
                <w:bCs/>
                <w:szCs w:val="24"/>
              </w:rPr>
              <w:t>9</w:t>
            </w:r>
            <w:r w:rsidRPr="00FF0263">
              <w:rPr>
                <w:rFonts w:ascii="Times New Roman" w:eastAsia="宋体" w:hAnsi="Times New Roman" w:hint="eastAsia"/>
                <w:bCs/>
                <w:szCs w:val="24"/>
              </w:rPr>
              <w:t>.08</w:t>
            </w:r>
            <w:r w:rsidRPr="00FF0263">
              <w:rPr>
                <w:rFonts w:ascii="Times New Roman" w:eastAsia="宋体" w:hint="eastAsia"/>
                <w:bCs/>
                <w:szCs w:val="24"/>
              </w:rPr>
              <w:t>万户；存款余额</w:t>
            </w:r>
            <w:r w:rsidRPr="00FF0263">
              <w:rPr>
                <w:rFonts w:ascii="Times New Roman" w:eastAsia="宋体" w:hAnsi="Times New Roman" w:hint="eastAsia"/>
                <w:bCs/>
                <w:szCs w:val="24"/>
              </w:rPr>
              <w:t>89</w:t>
            </w:r>
            <w:r w:rsidRPr="00FF0263">
              <w:rPr>
                <w:rFonts w:ascii="Times New Roman" w:eastAsia="宋体" w:hint="eastAsia"/>
                <w:bCs/>
                <w:szCs w:val="24"/>
              </w:rPr>
              <w:t>亿元、贷款余额</w:t>
            </w:r>
            <w:r w:rsidRPr="00FF0263">
              <w:rPr>
                <w:rFonts w:ascii="Times New Roman" w:eastAsia="宋体" w:hAnsi="Times New Roman" w:hint="eastAsia"/>
                <w:bCs/>
                <w:szCs w:val="24"/>
              </w:rPr>
              <w:t>182</w:t>
            </w:r>
            <w:r w:rsidRPr="00FF0263">
              <w:rPr>
                <w:rFonts w:ascii="Times New Roman" w:eastAsia="宋体" w:hint="eastAsia"/>
                <w:bCs/>
                <w:szCs w:val="24"/>
              </w:rPr>
              <w:t>亿元，分别较年初增长</w:t>
            </w:r>
            <w:r w:rsidRPr="00FF0263">
              <w:rPr>
                <w:rFonts w:ascii="Times New Roman" w:eastAsia="宋体" w:hAnsi="Times New Roman" w:hint="eastAsia"/>
                <w:bCs/>
                <w:szCs w:val="24"/>
              </w:rPr>
              <w:t>65%</w:t>
            </w:r>
            <w:r w:rsidRPr="00FF0263">
              <w:rPr>
                <w:rFonts w:ascii="Times New Roman" w:eastAsia="宋体" w:hint="eastAsia"/>
                <w:bCs/>
                <w:szCs w:val="24"/>
              </w:rPr>
              <w:t>和</w:t>
            </w:r>
            <w:r w:rsidRPr="00FF0263">
              <w:rPr>
                <w:rFonts w:ascii="Times New Roman" w:eastAsia="宋体" w:hAnsi="Times New Roman" w:hint="eastAsia"/>
                <w:bCs/>
                <w:szCs w:val="24"/>
              </w:rPr>
              <w:t>203%</w:t>
            </w:r>
            <w:r w:rsidRPr="00FF0263">
              <w:rPr>
                <w:rFonts w:ascii="Times New Roman" w:eastAsia="宋体" w:hint="eastAsia"/>
                <w:bCs/>
                <w:szCs w:val="24"/>
              </w:rPr>
              <w:t>，平均利率</w:t>
            </w:r>
            <w:r w:rsidRPr="00FF0263">
              <w:rPr>
                <w:rFonts w:ascii="Times New Roman" w:eastAsia="宋体" w:hAnsi="Times New Roman"/>
                <w:bCs/>
                <w:szCs w:val="24"/>
              </w:rPr>
              <w:t>15.51%</w:t>
            </w:r>
            <w:r w:rsidRPr="00FF0263">
              <w:rPr>
                <w:rFonts w:ascii="Times New Roman" w:eastAsia="宋体" w:hint="eastAsia"/>
                <w:bCs/>
                <w:szCs w:val="24"/>
              </w:rPr>
              <w:t>。从区域情况看，西区与北区增长势头强劲。</w:t>
            </w:r>
          </w:p>
          <w:p w:rsidR="00FF0263" w:rsidRPr="00FF0263" w:rsidRDefault="00FF0263" w:rsidP="00FF0263">
            <w:pPr>
              <w:pStyle w:val="CM189ArialGB2312078"/>
              <w:numPr>
                <w:ilvl w:val="0"/>
                <w:numId w:val="10"/>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资产质量及不良的容忍度：截至</w:t>
            </w:r>
            <w:r w:rsidRPr="00FF0263">
              <w:rPr>
                <w:rFonts w:ascii="Times New Roman" w:eastAsia="宋体" w:hAnsi="Times New Roman"/>
                <w:bCs/>
                <w:szCs w:val="24"/>
              </w:rPr>
              <w:t>2014</w:t>
            </w:r>
            <w:r w:rsidRPr="00FF0263">
              <w:rPr>
                <w:rFonts w:ascii="Times New Roman" w:eastAsia="宋体" w:hint="eastAsia"/>
                <w:bCs/>
                <w:szCs w:val="24"/>
              </w:rPr>
              <w:t>年一季度末，资产质量良好。</w:t>
            </w:r>
          </w:p>
          <w:p w:rsidR="00FF0263" w:rsidRPr="00FF0263" w:rsidRDefault="00FF0263" w:rsidP="00FF0263">
            <w:pPr>
              <w:pStyle w:val="CM189ArialGB2312078"/>
              <w:numPr>
                <w:ilvl w:val="0"/>
                <w:numId w:val="10"/>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商圈准入原则：国家产业政策支持、区域优势明显、受经济波动影响小、需求弹性小、经营周期相对稳定、与大众生活密切相关的生活消费类行业与生活服务业商圈集群，例如衣食住行等（如服装交易市场、食品市场、小商品市场、电器大卖场、电子产品市场、农副产品市场等）。</w:t>
            </w:r>
          </w:p>
          <w:p w:rsidR="00FF0263" w:rsidRPr="00FF0263" w:rsidRDefault="00FF0263" w:rsidP="00FF0263">
            <w:pPr>
              <w:pStyle w:val="CM189ArialGB2312078"/>
              <w:numPr>
                <w:ilvl w:val="0"/>
                <w:numId w:val="10"/>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单户准入原则：</w:t>
            </w:r>
            <w:r w:rsidRPr="00FF0263">
              <w:rPr>
                <w:rFonts w:ascii="Times New Roman" w:eastAsia="宋体" w:hAnsi="Times New Roman"/>
                <w:bCs/>
                <w:szCs w:val="24"/>
              </w:rPr>
              <w:t>1</w:t>
            </w:r>
            <w:r w:rsidRPr="00FF0263">
              <w:rPr>
                <w:rFonts w:ascii="Times New Roman" w:eastAsia="宋体" w:hint="eastAsia"/>
                <w:bCs/>
                <w:szCs w:val="24"/>
              </w:rPr>
              <w:t>）取得工商登记的小</w:t>
            </w:r>
            <w:proofErr w:type="gramStart"/>
            <w:r w:rsidRPr="00FF0263">
              <w:rPr>
                <w:rFonts w:ascii="Times New Roman" w:eastAsia="宋体" w:hint="eastAsia"/>
                <w:bCs/>
                <w:szCs w:val="24"/>
              </w:rPr>
              <w:t>微企业</w:t>
            </w:r>
            <w:proofErr w:type="gramEnd"/>
            <w:r w:rsidRPr="00FF0263">
              <w:rPr>
                <w:rFonts w:ascii="Times New Roman" w:eastAsia="宋体" w:hint="eastAsia"/>
                <w:bCs/>
                <w:szCs w:val="24"/>
              </w:rPr>
              <w:t>股东、个体工商户经营者；</w:t>
            </w:r>
            <w:r w:rsidRPr="00FF0263">
              <w:rPr>
                <w:rFonts w:ascii="Times New Roman" w:eastAsia="宋体" w:hAnsi="Times New Roman"/>
                <w:bCs/>
                <w:szCs w:val="24"/>
              </w:rPr>
              <w:t>2</w:t>
            </w:r>
            <w:r w:rsidRPr="00FF0263">
              <w:rPr>
                <w:rFonts w:ascii="Times New Roman" w:eastAsia="宋体" w:hint="eastAsia"/>
                <w:bCs/>
                <w:szCs w:val="24"/>
              </w:rPr>
              <w:t>）借款人实际控制的经营主体必须在经办机构所管辖区域注册并办理年检手续，经营</w:t>
            </w:r>
            <w:r w:rsidRPr="00FF0263">
              <w:rPr>
                <w:rFonts w:ascii="Times New Roman" w:eastAsia="宋体" w:hAnsi="Times New Roman"/>
                <w:bCs/>
                <w:szCs w:val="24"/>
              </w:rPr>
              <w:t>2</w:t>
            </w:r>
            <w:r w:rsidRPr="00FF0263">
              <w:rPr>
                <w:rFonts w:ascii="Times New Roman" w:eastAsia="宋体" w:hint="eastAsia"/>
                <w:bCs/>
                <w:szCs w:val="24"/>
              </w:rPr>
              <w:t>年以上并拥有固定经营场所；</w:t>
            </w:r>
            <w:r w:rsidRPr="00FF0263">
              <w:rPr>
                <w:rFonts w:ascii="Times New Roman" w:eastAsia="宋体" w:hAnsi="Times New Roman"/>
                <w:bCs/>
                <w:szCs w:val="24"/>
              </w:rPr>
              <w:t>3</w:t>
            </w:r>
            <w:r w:rsidRPr="00FF0263">
              <w:rPr>
                <w:rFonts w:ascii="Times New Roman" w:eastAsia="宋体" w:hint="eastAsia"/>
                <w:bCs/>
                <w:szCs w:val="24"/>
              </w:rPr>
              <w:t>）符合我行申请</w:t>
            </w:r>
            <w:proofErr w:type="gramStart"/>
            <w:r w:rsidRPr="00FF0263">
              <w:rPr>
                <w:rFonts w:ascii="Times New Roman" w:eastAsia="宋体" w:hint="eastAsia"/>
                <w:bCs/>
                <w:szCs w:val="24"/>
              </w:rPr>
              <w:t>评分卡</w:t>
            </w:r>
            <w:proofErr w:type="gramEnd"/>
            <w:r w:rsidRPr="00FF0263">
              <w:rPr>
                <w:rFonts w:ascii="Times New Roman" w:eastAsia="宋体" w:hint="eastAsia"/>
                <w:bCs/>
                <w:szCs w:val="24"/>
              </w:rPr>
              <w:t>的准入要求；</w:t>
            </w:r>
            <w:r w:rsidRPr="00FF0263">
              <w:rPr>
                <w:rFonts w:ascii="Times New Roman" w:eastAsia="宋体" w:hAnsi="Times New Roman"/>
                <w:bCs/>
                <w:szCs w:val="24"/>
              </w:rPr>
              <w:t xml:space="preserve"> </w:t>
            </w:r>
          </w:p>
          <w:p w:rsidR="00FF0263" w:rsidRPr="00FF0263" w:rsidRDefault="00FF0263" w:rsidP="00FF0263">
            <w:pPr>
              <w:pStyle w:val="CM189ArialGB2312078"/>
              <w:numPr>
                <w:ilvl w:val="0"/>
                <w:numId w:val="10"/>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项目审批由总分行各级有权人终审，单户审批由信贷工厂集中处理，通过系统平台人工进行标准化、流程化和集约化操作。部分的少量客户通过一定规则和模型进行系统自动拒绝。一般审批时效平均</w:t>
            </w:r>
            <w:r w:rsidRPr="00FF0263">
              <w:rPr>
                <w:rFonts w:ascii="Times New Roman" w:eastAsia="宋体" w:hAnsi="Times New Roman"/>
                <w:bCs/>
                <w:szCs w:val="24"/>
              </w:rPr>
              <w:t>1</w:t>
            </w:r>
            <w:r w:rsidRPr="00FF0263">
              <w:rPr>
                <w:rFonts w:ascii="Times New Roman" w:eastAsia="宋体" w:hint="eastAsia"/>
                <w:bCs/>
                <w:szCs w:val="24"/>
              </w:rPr>
              <w:t>天左右。</w:t>
            </w:r>
          </w:p>
          <w:p w:rsidR="00FF0263" w:rsidRPr="00FF0263" w:rsidRDefault="00FF0263" w:rsidP="00FF0263">
            <w:pPr>
              <w:pStyle w:val="CM189ArialGB2312078"/>
              <w:numPr>
                <w:ilvl w:val="0"/>
                <w:numId w:val="10"/>
              </w:numPr>
              <w:adjustRightInd w:val="0"/>
              <w:snapToGrid w:val="0"/>
              <w:spacing w:before="156" w:afterLines="0" w:line="276" w:lineRule="auto"/>
              <w:ind w:firstLineChars="0"/>
              <w:rPr>
                <w:rFonts w:ascii="Times New Roman" w:eastAsia="宋体" w:hAnsi="Times New Roman"/>
                <w:bCs/>
                <w:szCs w:val="24"/>
              </w:rPr>
            </w:pPr>
            <w:r w:rsidRPr="00FF0263">
              <w:rPr>
                <w:rFonts w:ascii="Times New Roman" w:eastAsia="宋体" w:hint="eastAsia"/>
                <w:bCs/>
                <w:szCs w:val="24"/>
              </w:rPr>
              <w:t>贷后管理：贷</w:t>
            </w:r>
            <w:proofErr w:type="gramStart"/>
            <w:r w:rsidRPr="00FF0263">
              <w:rPr>
                <w:rFonts w:ascii="Times New Roman" w:eastAsia="宋体" w:hint="eastAsia"/>
                <w:bCs/>
                <w:szCs w:val="24"/>
              </w:rPr>
              <w:t>贷</w:t>
            </w:r>
            <w:proofErr w:type="gramEnd"/>
            <w:r w:rsidRPr="00FF0263">
              <w:rPr>
                <w:rFonts w:ascii="Times New Roman" w:eastAsia="宋体" w:hint="eastAsia"/>
                <w:bCs/>
                <w:szCs w:val="24"/>
              </w:rPr>
              <w:t>平安的贷后管理包括：资金流向管理、日常风险监测和预警、问题客户的催清收管理、额度动态调整（二阶段授信）、贷后服务以及信贷重整等方面，总行通过逐步建立非现场监测信息平台并开发行为评分模型等量化工具，定期对授信客户进行风险监测并根据预先设定的规则自动预警，分行根据预警</w:t>
            </w:r>
            <w:r w:rsidRPr="00FF0263">
              <w:rPr>
                <w:rFonts w:ascii="Times New Roman" w:eastAsia="宋体" w:hint="eastAsia"/>
                <w:bCs/>
                <w:szCs w:val="24"/>
              </w:rPr>
              <w:lastRenderedPageBreak/>
              <w:t>信号对客户进行现场检查。同时针对贷</w:t>
            </w:r>
            <w:proofErr w:type="gramStart"/>
            <w:r w:rsidRPr="00FF0263">
              <w:rPr>
                <w:rFonts w:ascii="Times New Roman" w:eastAsia="宋体" w:hint="eastAsia"/>
                <w:bCs/>
                <w:szCs w:val="24"/>
              </w:rPr>
              <w:t>贷平安业务</w:t>
            </w:r>
            <w:proofErr w:type="gramEnd"/>
            <w:r w:rsidRPr="00FF0263">
              <w:rPr>
                <w:rFonts w:ascii="Times New Roman" w:eastAsia="宋体" w:hint="eastAsia"/>
                <w:bCs/>
                <w:szCs w:val="24"/>
              </w:rPr>
              <w:t>目前围绕项目开展的特点，要求分行定期对授信项目开展现场检查，防范出现批量性风险</w:t>
            </w:r>
          </w:p>
          <w:p w:rsidR="00FF0263" w:rsidRPr="00FF0263" w:rsidRDefault="00FF0263" w:rsidP="00FF0263">
            <w:pPr>
              <w:numPr>
                <w:ilvl w:val="0"/>
                <w:numId w:val="9"/>
              </w:numPr>
              <w:adjustRightInd w:val="0"/>
              <w:snapToGrid w:val="0"/>
              <w:spacing w:beforeLines="50" w:line="288" w:lineRule="auto"/>
              <w:rPr>
                <w:b/>
                <w:sz w:val="24"/>
              </w:rPr>
            </w:pPr>
            <w:r w:rsidRPr="00FF0263">
              <w:rPr>
                <w:rFonts w:hAnsiTheme="minorEastAsia" w:hint="eastAsia"/>
                <w:b/>
                <w:sz w:val="24"/>
              </w:rPr>
              <w:t>资本充足率</w:t>
            </w:r>
          </w:p>
          <w:p w:rsidR="00FF0263" w:rsidRPr="00FF0263" w:rsidRDefault="00FF0263" w:rsidP="00FF0263">
            <w:pPr>
              <w:pStyle w:val="CM189ArialGB2312078"/>
              <w:adjustRightInd w:val="0"/>
              <w:snapToGrid w:val="0"/>
              <w:spacing w:before="156" w:afterLines="0" w:line="276" w:lineRule="auto"/>
              <w:ind w:firstLine="480"/>
              <w:rPr>
                <w:rFonts w:ascii="Times New Roman" w:eastAsia="宋体" w:hAnsi="Times New Roman"/>
                <w:bCs/>
                <w:szCs w:val="24"/>
              </w:rPr>
            </w:pPr>
            <w:r w:rsidRPr="00FF0263">
              <w:rPr>
                <w:rFonts w:ascii="Times New Roman" w:eastAsia="宋体" w:hint="eastAsia"/>
                <w:bCs/>
                <w:szCs w:val="24"/>
              </w:rPr>
              <w:t>由于历史原因，我</w:t>
            </w:r>
            <w:proofErr w:type="gramStart"/>
            <w:r w:rsidRPr="00FF0263">
              <w:rPr>
                <w:rFonts w:ascii="Times New Roman" w:eastAsia="宋体" w:hint="eastAsia"/>
                <w:bCs/>
                <w:szCs w:val="24"/>
              </w:rPr>
              <w:t>行长期</w:t>
            </w:r>
            <w:proofErr w:type="gramEnd"/>
            <w:r w:rsidRPr="00FF0263">
              <w:rPr>
                <w:rFonts w:ascii="Times New Roman" w:eastAsia="宋体" w:hint="eastAsia"/>
                <w:bCs/>
                <w:szCs w:val="24"/>
              </w:rPr>
              <w:t>受到资本制约，业务条线对资本需求较大。在完成</w:t>
            </w:r>
            <w:r w:rsidRPr="00FF0263">
              <w:rPr>
                <w:rFonts w:ascii="Times New Roman" w:eastAsia="宋体" w:hAnsi="Times New Roman"/>
                <w:bCs/>
                <w:szCs w:val="24"/>
              </w:rPr>
              <w:t>150</w:t>
            </w:r>
            <w:r w:rsidRPr="00FF0263">
              <w:rPr>
                <w:rFonts w:ascii="Times New Roman" w:eastAsia="宋体" w:hint="eastAsia"/>
                <w:bCs/>
                <w:szCs w:val="24"/>
              </w:rPr>
              <w:t>亿元二级资本债券后我行资本充足</w:t>
            </w:r>
            <w:proofErr w:type="gramStart"/>
            <w:r w:rsidRPr="00FF0263">
              <w:rPr>
                <w:rFonts w:ascii="Times New Roman" w:eastAsia="宋体" w:hint="eastAsia"/>
                <w:bCs/>
                <w:szCs w:val="24"/>
              </w:rPr>
              <w:t>率各项</w:t>
            </w:r>
            <w:proofErr w:type="gramEnd"/>
            <w:r w:rsidRPr="00FF0263">
              <w:rPr>
                <w:rFonts w:ascii="Times New Roman" w:eastAsia="宋体" w:hint="eastAsia"/>
                <w:bCs/>
                <w:szCs w:val="24"/>
              </w:rPr>
              <w:t>指标符合监管要求，但仍然偏紧。我行对各种资本补充手段持开放态度，但目前尚无明确计划。同时，我行也通过业务调整，大力发展</w:t>
            </w:r>
            <w:proofErr w:type="gramStart"/>
            <w:r w:rsidRPr="00FF0263">
              <w:rPr>
                <w:rFonts w:ascii="Times New Roman" w:eastAsia="宋体" w:hint="eastAsia"/>
                <w:bCs/>
                <w:szCs w:val="24"/>
              </w:rPr>
              <w:t>轻资本</w:t>
            </w:r>
            <w:proofErr w:type="gramEnd"/>
            <w:r w:rsidRPr="00FF0263">
              <w:rPr>
                <w:rFonts w:ascii="Times New Roman" w:eastAsia="宋体" w:hint="eastAsia"/>
                <w:bCs/>
                <w:szCs w:val="24"/>
              </w:rPr>
              <w:t>业务，并注重利润的积累和留存。</w:t>
            </w:r>
          </w:p>
          <w:p w:rsidR="00217D1A" w:rsidRPr="00FF0263" w:rsidRDefault="00217D1A" w:rsidP="00AB67BB">
            <w:pPr>
              <w:autoSpaceDE w:val="0"/>
              <w:autoSpaceDN w:val="0"/>
              <w:adjustRightInd w:val="0"/>
              <w:snapToGrid w:val="0"/>
              <w:spacing w:beforeLines="50" w:line="288" w:lineRule="auto"/>
              <w:ind w:left="318" w:firstLineChars="200" w:firstLine="480"/>
              <w:jc w:val="left"/>
              <w:rPr>
                <w:rFonts w:cs="宋体"/>
                <w:sz w:val="24"/>
                <w:lang w:val="zh-CN"/>
              </w:rPr>
            </w:pPr>
          </w:p>
          <w:p w:rsidR="00EE1C10" w:rsidRPr="00FF0263" w:rsidRDefault="00A140B8" w:rsidP="00D87038">
            <w:pPr>
              <w:spacing w:line="480" w:lineRule="atLeast"/>
              <w:rPr>
                <w:bCs/>
                <w:iCs/>
                <w:color w:val="000000"/>
                <w:sz w:val="24"/>
              </w:rPr>
            </w:pPr>
            <w:r w:rsidRPr="00FF0263">
              <w:rPr>
                <w:rFonts w:hAnsiTheme="minorEastAsia" w:hint="eastAsia"/>
                <w:bCs/>
                <w:iCs/>
                <w:color w:val="000000"/>
                <w:sz w:val="24"/>
              </w:rPr>
              <w:t>接待过程中，公司接待人员与投资者进行了充分的交流与沟通，严格按照有关制度规定，没有出现未公开重大信息泄露等情况，</w:t>
            </w:r>
            <w:r w:rsidR="00D87038" w:rsidRPr="00FF0263">
              <w:rPr>
                <w:rFonts w:hAnsiTheme="minorEastAsia" w:hint="eastAsia"/>
                <w:bCs/>
                <w:iCs/>
                <w:color w:val="000000"/>
                <w:sz w:val="24"/>
              </w:rPr>
              <w:t>团体接待</w:t>
            </w:r>
            <w:r w:rsidRPr="00FF0263">
              <w:rPr>
                <w:rFonts w:hAnsiTheme="minorEastAsia" w:hint="eastAsia"/>
                <w:bCs/>
                <w:iCs/>
                <w:color w:val="000000"/>
                <w:sz w:val="24"/>
              </w:rPr>
              <w:t>未签署《承诺书》。</w:t>
            </w:r>
          </w:p>
        </w:tc>
      </w:tr>
      <w:tr w:rsidR="00EE1C10" w:rsidRPr="00FF0263"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FF0263" w:rsidRDefault="00217D1A" w:rsidP="00FF0263">
            <w:pPr>
              <w:spacing w:line="480" w:lineRule="atLeast"/>
              <w:rPr>
                <w:bCs/>
                <w:iCs/>
                <w:color w:val="000000"/>
                <w:sz w:val="24"/>
              </w:rPr>
            </w:pPr>
            <w:r w:rsidRPr="00FF0263">
              <w:rPr>
                <w:rFonts w:hint="eastAsia"/>
                <w:bCs/>
                <w:iCs/>
                <w:color w:val="000000"/>
                <w:sz w:val="24"/>
              </w:rPr>
              <w:t>2014</w:t>
            </w:r>
            <w:r w:rsidRPr="00FF0263">
              <w:rPr>
                <w:rFonts w:hAnsiTheme="minorEastAsia" w:hint="eastAsia"/>
                <w:bCs/>
                <w:iCs/>
                <w:color w:val="000000"/>
                <w:sz w:val="24"/>
              </w:rPr>
              <w:t>年</w:t>
            </w:r>
            <w:r w:rsidR="00FF0263">
              <w:rPr>
                <w:rFonts w:hAnsiTheme="minorEastAsia" w:hint="eastAsia"/>
                <w:bCs/>
                <w:iCs/>
                <w:color w:val="000000"/>
                <w:sz w:val="24"/>
              </w:rPr>
              <w:t>一季</w:t>
            </w:r>
            <w:r w:rsidRPr="00FF0263">
              <w:rPr>
                <w:rFonts w:hAnsiTheme="minorEastAsia" w:hint="eastAsia"/>
                <w:bCs/>
                <w:iCs/>
                <w:color w:val="000000"/>
                <w:sz w:val="24"/>
              </w:rPr>
              <w:t>度业绩</w:t>
            </w:r>
            <w:r w:rsidR="00D87038" w:rsidRPr="00FF0263">
              <w:rPr>
                <w:rFonts w:hint="eastAsia"/>
                <w:bCs/>
                <w:iCs/>
                <w:color w:val="000000"/>
                <w:sz w:val="24"/>
              </w:rPr>
              <w:t>PPT</w:t>
            </w:r>
            <w:r w:rsidR="00D87038" w:rsidRPr="00FF0263">
              <w:rPr>
                <w:rFonts w:hAnsiTheme="minorEastAsia" w:hint="eastAsia"/>
                <w:bCs/>
                <w:iCs/>
                <w:color w:val="000000"/>
                <w:sz w:val="24"/>
              </w:rPr>
              <w:t>（请参见</w:t>
            </w:r>
            <w:r w:rsidR="00D87038" w:rsidRPr="00FF0263">
              <w:rPr>
                <w:rFonts w:hint="eastAsia"/>
                <w:bCs/>
                <w:iCs/>
                <w:color w:val="000000"/>
                <w:sz w:val="24"/>
              </w:rPr>
              <w:t>bank.pingan.com</w:t>
            </w:r>
            <w:r w:rsidR="00D87038" w:rsidRPr="00FF0263">
              <w:rPr>
                <w:rFonts w:hAnsiTheme="minorEastAsia" w:hint="eastAsia"/>
                <w:bCs/>
                <w:iCs/>
                <w:color w:val="000000"/>
                <w:sz w:val="24"/>
              </w:rPr>
              <w:t>投资者关系</w:t>
            </w:r>
            <w:r w:rsidR="00D87038" w:rsidRPr="00FF0263">
              <w:rPr>
                <w:rFonts w:hint="eastAsia"/>
                <w:bCs/>
                <w:iCs/>
                <w:color w:val="000000"/>
                <w:sz w:val="24"/>
              </w:rPr>
              <w:t>-</w:t>
            </w:r>
            <w:r w:rsidR="00D87038" w:rsidRPr="00FF0263">
              <w:rPr>
                <w:rFonts w:hAnsiTheme="minorEastAsia" w:hint="eastAsia"/>
                <w:bCs/>
                <w:iCs/>
                <w:color w:val="000000"/>
                <w:sz w:val="24"/>
              </w:rPr>
              <w:t>公司推介栏目）</w:t>
            </w:r>
          </w:p>
        </w:tc>
      </w:tr>
      <w:tr w:rsidR="00EE1C10" w:rsidRPr="00FF0263"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FF0263" w:rsidRDefault="00EE1C10" w:rsidP="00B07D0C">
            <w:pPr>
              <w:spacing w:line="480" w:lineRule="atLeast"/>
              <w:rPr>
                <w:bCs/>
                <w:iCs/>
                <w:color w:val="000000"/>
                <w:sz w:val="24"/>
              </w:rPr>
            </w:pPr>
            <w:r w:rsidRPr="00FF0263">
              <w:rPr>
                <w:rFonts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FF0263" w:rsidRDefault="00761259" w:rsidP="00FF0263">
            <w:pPr>
              <w:spacing w:line="480" w:lineRule="atLeast"/>
              <w:rPr>
                <w:bCs/>
                <w:iCs/>
                <w:color w:val="000000"/>
                <w:sz w:val="24"/>
              </w:rPr>
            </w:pPr>
            <w:r w:rsidRPr="00FF0263">
              <w:rPr>
                <w:rFonts w:hint="eastAsia"/>
                <w:bCs/>
                <w:iCs/>
                <w:color w:val="000000"/>
                <w:sz w:val="24"/>
              </w:rPr>
              <w:t>201</w:t>
            </w:r>
            <w:r w:rsidR="00B84A84" w:rsidRPr="00FF0263">
              <w:rPr>
                <w:rFonts w:hint="eastAsia"/>
                <w:bCs/>
                <w:iCs/>
                <w:color w:val="000000"/>
                <w:sz w:val="24"/>
              </w:rPr>
              <w:t>4</w:t>
            </w:r>
            <w:r w:rsidRPr="00FF0263">
              <w:rPr>
                <w:rFonts w:hint="eastAsia"/>
                <w:bCs/>
                <w:iCs/>
                <w:color w:val="000000"/>
                <w:sz w:val="24"/>
              </w:rPr>
              <w:t>.</w:t>
            </w:r>
            <w:r w:rsidR="00FF0263">
              <w:rPr>
                <w:rFonts w:hint="eastAsia"/>
                <w:bCs/>
                <w:iCs/>
                <w:color w:val="000000"/>
                <w:sz w:val="24"/>
              </w:rPr>
              <w:t>4</w:t>
            </w:r>
            <w:r w:rsidRPr="00FF0263">
              <w:rPr>
                <w:rFonts w:hint="eastAsia"/>
                <w:bCs/>
                <w:iCs/>
                <w:color w:val="000000"/>
                <w:sz w:val="24"/>
              </w:rPr>
              <w:t>.</w:t>
            </w:r>
            <w:r w:rsidR="00FF0263">
              <w:rPr>
                <w:rFonts w:hint="eastAsia"/>
                <w:bCs/>
                <w:iCs/>
                <w:color w:val="000000"/>
                <w:sz w:val="24"/>
              </w:rPr>
              <w:t>25</w:t>
            </w:r>
          </w:p>
        </w:tc>
      </w:tr>
    </w:tbl>
    <w:p w:rsidR="00EE1C10" w:rsidRPr="00FF0263" w:rsidRDefault="00EE1C10" w:rsidP="00EE1C10">
      <w:pPr>
        <w:jc w:val="center"/>
        <w:rPr>
          <w:sz w:val="28"/>
          <w:szCs w:val="28"/>
        </w:rPr>
      </w:pPr>
    </w:p>
    <w:p w:rsidR="00941F1C" w:rsidRPr="00FF0263" w:rsidRDefault="00941F1C"/>
    <w:sectPr w:rsidR="00941F1C" w:rsidRPr="00FF0263"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7B" w:rsidRDefault="00A23D7B" w:rsidP="00D96584">
      <w:r>
        <w:separator/>
      </w:r>
    </w:p>
  </w:endnote>
  <w:endnote w:type="continuationSeparator" w:id="0">
    <w:p w:rsidR="00A23D7B" w:rsidRDefault="00A23D7B"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7B" w:rsidRDefault="00A23D7B" w:rsidP="00D96584">
      <w:r>
        <w:separator/>
      </w:r>
    </w:p>
  </w:footnote>
  <w:footnote w:type="continuationSeparator" w:id="0">
    <w:p w:rsidR="00A23D7B" w:rsidRDefault="00A23D7B"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4">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7">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abstractNum w:abstractNumId="8">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B3693"/>
    <w:rsid w:val="00101C48"/>
    <w:rsid w:val="00130F3C"/>
    <w:rsid w:val="0015535F"/>
    <w:rsid w:val="001B33AC"/>
    <w:rsid w:val="001B72DE"/>
    <w:rsid w:val="001D2529"/>
    <w:rsid w:val="001E2C63"/>
    <w:rsid w:val="00217D1A"/>
    <w:rsid w:val="003317E5"/>
    <w:rsid w:val="003B107D"/>
    <w:rsid w:val="003B721F"/>
    <w:rsid w:val="0043629D"/>
    <w:rsid w:val="004B47B1"/>
    <w:rsid w:val="0051123B"/>
    <w:rsid w:val="00535D6F"/>
    <w:rsid w:val="00550FD9"/>
    <w:rsid w:val="00622C3A"/>
    <w:rsid w:val="00623A26"/>
    <w:rsid w:val="0063326E"/>
    <w:rsid w:val="006A1753"/>
    <w:rsid w:val="006F64B3"/>
    <w:rsid w:val="00761259"/>
    <w:rsid w:val="008710F9"/>
    <w:rsid w:val="008A4E3E"/>
    <w:rsid w:val="00921892"/>
    <w:rsid w:val="00941F1C"/>
    <w:rsid w:val="00951547"/>
    <w:rsid w:val="009F13CD"/>
    <w:rsid w:val="00A140B8"/>
    <w:rsid w:val="00A23D7B"/>
    <w:rsid w:val="00AB67BB"/>
    <w:rsid w:val="00B31C4E"/>
    <w:rsid w:val="00B84A84"/>
    <w:rsid w:val="00BB741D"/>
    <w:rsid w:val="00BE11BC"/>
    <w:rsid w:val="00C35BCB"/>
    <w:rsid w:val="00C51768"/>
    <w:rsid w:val="00C81677"/>
    <w:rsid w:val="00CB4AC9"/>
    <w:rsid w:val="00D87038"/>
    <w:rsid w:val="00D96584"/>
    <w:rsid w:val="00E733AB"/>
    <w:rsid w:val="00EE1C10"/>
    <w:rsid w:val="00EE4F68"/>
    <w:rsid w:val="00EE7C01"/>
    <w:rsid w:val="00F16F75"/>
    <w:rsid w:val="00FE4AFD"/>
    <w:rsid w:val="00FF0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248</Words>
  <Characters>1420</Characters>
  <Application>Microsoft Office Word</Application>
  <DocSecurity>0</DocSecurity>
  <Lines>11</Lines>
  <Paragraphs>3</Paragraphs>
  <ScaleCrop>false</ScaleCrop>
  <Company>sdb</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高炼</cp:lastModifiedBy>
  <cp:revision>3</cp:revision>
  <dcterms:created xsi:type="dcterms:W3CDTF">2014-06-23T12:48:00Z</dcterms:created>
  <dcterms:modified xsi:type="dcterms:W3CDTF">2014-06-23T12:53:00Z</dcterms:modified>
</cp:coreProperties>
</file>