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497C7E" w:rsidRDefault="00EE1C10" w:rsidP="00AB67BB">
      <w:pPr>
        <w:spacing w:beforeLines="50" w:afterLines="50" w:line="400" w:lineRule="exact"/>
        <w:rPr>
          <w:rFonts w:ascii="times" w:hAnsi="times"/>
          <w:bCs/>
          <w:iCs/>
          <w:color w:val="000000"/>
          <w:sz w:val="24"/>
        </w:rPr>
      </w:pPr>
      <w:r w:rsidRPr="00497C7E">
        <w:rPr>
          <w:rFonts w:ascii="times" w:hAnsi="times" w:hint="eastAsia"/>
          <w:bCs/>
          <w:iCs/>
          <w:color w:val="000000"/>
          <w:sz w:val="24"/>
        </w:rPr>
        <w:t>证券代码：</w:t>
      </w:r>
      <w:r w:rsidRPr="00497C7E">
        <w:rPr>
          <w:rFonts w:ascii="times" w:hAnsi="times" w:hint="eastAsia"/>
          <w:bCs/>
          <w:iCs/>
          <w:color w:val="000000"/>
          <w:sz w:val="24"/>
        </w:rPr>
        <w:t xml:space="preserve">000001                                  </w:t>
      </w:r>
      <w:r w:rsidRPr="00497C7E">
        <w:rPr>
          <w:rFonts w:ascii="times" w:hAnsi="times" w:hint="eastAsia"/>
          <w:bCs/>
          <w:iCs/>
          <w:color w:val="000000"/>
          <w:sz w:val="24"/>
        </w:rPr>
        <w:t>证券简称：</w:t>
      </w:r>
      <w:r w:rsidR="00D96584" w:rsidRPr="00497C7E">
        <w:rPr>
          <w:rFonts w:ascii="times" w:hAnsi="times" w:hint="eastAsia"/>
          <w:bCs/>
          <w:iCs/>
          <w:color w:val="000000"/>
          <w:sz w:val="24"/>
        </w:rPr>
        <w:t>平安银行</w:t>
      </w:r>
    </w:p>
    <w:p w:rsidR="00EE1C10" w:rsidRPr="00497C7E" w:rsidRDefault="003317E5" w:rsidP="00AB67BB">
      <w:pPr>
        <w:spacing w:beforeLines="50" w:afterLines="50" w:line="400" w:lineRule="exact"/>
        <w:jc w:val="center"/>
        <w:rPr>
          <w:rFonts w:ascii="times" w:hAnsi="times"/>
          <w:b/>
          <w:bCs/>
          <w:iCs/>
          <w:color w:val="000000"/>
          <w:sz w:val="32"/>
          <w:szCs w:val="32"/>
        </w:rPr>
      </w:pPr>
      <w:r w:rsidRPr="00497C7E">
        <w:rPr>
          <w:rFonts w:ascii="times" w:hAnsi="times" w:hint="eastAsia"/>
          <w:b/>
          <w:bCs/>
          <w:iCs/>
          <w:color w:val="000000"/>
          <w:sz w:val="32"/>
          <w:szCs w:val="32"/>
        </w:rPr>
        <w:t>平安</w:t>
      </w:r>
      <w:r w:rsidR="00EE1C10" w:rsidRPr="00497C7E">
        <w:rPr>
          <w:rFonts w:ascii="times" w:hAnsi="times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497C7E" w:rsidRDefault="00EE1C10" w:rsidP="00EE1C10">
      <w:pPr>
        <w:spacing w:line="400" w:lineRule="exact"/>
        <w:rPr>
          <w:rFonts w:ascii="times" w:hAnsi="times"/>
          <w:bCs/>
          <w:iCs/>
          <w:color w:val="000000"/>
          <w:sz w:val="24"/>
        </w:rPr>
      </w:pPr>
      <w:r w:rsidRPr="00497C7E">
        <w:rPr>
          <w:rFonts w:ascii="times" w:hAnsi="times" w:hint="eastAsia"/>
          <w:bCs/>
          <w:iCs/>
          <w:color w:val="000000"/>
          <w:sz w:val="24"/>
        </w:rPr>
        <w:t xml:space="preserve">                                                         </w:t>
      </w:r>
      <w:r w:rsidRPr="00497C7E">
        <w:rPr>
          <w:rFonts w:ascii="times" w:hAnsi="times" w:hint="eastAsia"/>
          <w:bCs/>
          <w:iCs/>
          <w:color w:val="000000"/>
          <w:sz w:val="24"/>
        </w:rPr>
        <w:t>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FF0263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497C7E">
              <w:rPr>
                <w:rFonts w:ascii="times" w:hAnsi="times" w:hint="eastAsia"/>
                <w:sz w:val="28"/>
                <w:szCs w:val="28"/>
              </w:rPr>
              <w:t>特定对象调研</w:t>
            </w:r>
            <w:r w:rsidR="00EE1C10" w:rsidRPr="00497C7E">
              <w:rPr>
                <w:rFonts w:ascii="times" w:hAnsi="times" w:hint="eastAsia"/>
                <w:sz w:val="28"/>
                <w:szCs w:val="28"/>
              </w:rPr>
              <w:t xml:space="preserve">        </w:t>
            </w:r>
            <w:r w:rsidR="00EE1C10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497C7E">
              <w:rPr>
                <w:rFonts w:ascii="times" w:hAnsi="times" w:hint="eastAsia"/>
                <w:sz w:val="28"/>
                <w:szCs w:val="28"/>
              </w:rPr>
              <w:t>分析师会议</w:t>
            </w:r>
          </w:p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497C7E">
              <w:rPr>
                <w:rFonts w:ascii="times" w:hAnsi="times" w:hint="eastAsia"/>
                <w:sz w:val="28"/>
                <w:szCs w:val="28"/>
              </w:rPr>
              <w:t>媒体采访</w:t>
            </w:r>
            <w:r w:rsidRPr="00497C7E">
              <w:rPr>
                <w:rFonts w:ascii="times" w:hAnsi="times" w:hint="eastAsia"/>
                <w:sz w:val="28"/>
                <w:szCs w:val="28"/>
              </w:rPr>
              <w:t xml:space="preserve">            </w:t>
            </w:r>
            <w:r w:rsidR="00FF0263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497C7E">
              <w:rPr>
                <w:rFonts w:ascii="times" w:hAnsi="times" w:hint="eastAsia"/>
                <w:sz w:val="28"/>
                <w:szCs w:val="28"/>
              </w:rPr>
              <w:t>业绩说明会</w:t>
            </w:r>
          </w:p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497C7E">
              <w:rPr>
                <w:rFonts w:ascii="times" w:hAnsi="times" w:hint="eastAsia"/>
                <w:sz w:val="28"/>
                <w:szCs w:val="28"/>
              </w:rPr>
              <w:t>新闻发布会</w:t>
            </w:r>
            <w:r w:rsidRPr="00497C7E">
              <w:rPr>
                <w:rFonts w:ascii="times" w:hAnsi="times" w:hint="eastAsia"/>
                <w:sz w:val="28"/>
                <w:szCs w:val="28"/>
              </w:rPr>
              <w:t xml:space="preserve">          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497C7E">
              <w:rPr>
                <w:rFonts w:ascii="times" w:hAnsi="times" w:hint="eastAsia"/>
                <w:sz w:val="28"/>
                <w:szCs w:val="28"/>
              </w:rPr>
              <w:t>路演活动</w:t>
            </w:r>
          </w:p>
          <w:p w:rsidR="00EE1C10" w:rsidRPr="00497C7E" w:rsidRDefault="00EE1C10" w:rsidP="00B07D0C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Pr="00497C7E">
              <w:rPr>
                <w:rFonts w:ascii="times" w:hAnsi="times" w:hint="eastAsia"/>
                <w:sz w:val="28"/>
                <w:szCs w:val="28"/>
              </w:rPr>
              <w:t>现场参观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ab/>
            </w:r>
          </w:p>
          <w:p w:rsidR="00EE1C10" w:rsidRPr="00497C7E" w:rsidRDefault="00217D1A" w:rsidP="00217D1A">
            <w:pPr>
              <w:tabs>
                <w:tab w:val="center" w:pos="3199"/>
              </w:tabs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□</w:t>
            </w:r>
            <w:r w:rsidR="00EE1C10" w:rsidRPr="00497C7E">
              <w:rPr>
                <w:rFonts w:ascii="times" w:hAnsi="times" w:hint="eastAsia"/>
                <w:sz w:val="28"/>
                <w:szCs w:val="28"/>
              </w:rPr>
              <w:t>其他</w:t>
            </w:r>
          </w:p>
        </w:tc>
      </w:tr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497C7E" w:rsidP="00B84A84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申银万国</w:t>
            </w:r>
            <w:r w:rsidR="00FF0263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证券及国内主要基金</w:t>
            </w:r>
          </w:p>
        </w:tc>
      </w:tr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43629D" w:rsidP="00497C7E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497C7E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5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月</w:t>
            </w:r>
            <w:r w:rsidR="00497C7E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8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217D1A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FF0263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董事会办公室</w:t>
            </w:r>
            <w:r w:rsidR="00497C7E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、金融同业部</w:t>
            </w:r>
          </w:p>
        </w:tc>
      </w:tr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D87038" w:rsidRPr="00497C7E" w:rsidRDefault="00D87038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</w:p>
          <w:p w:rsidR="00497C7E" w:rsidRPr="00497C7E" w:rsidRDefault="00497C7E" w:rsidP="00497C7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497C7E">
              <w:rPr>
                <w:rFonts w:ascii="times" w:hAnsi="times" w:hint="eastAsia"/>
                <w:b/>
                <w:sz w:val="24"/>
              </w:rPr>
              <w:t>同业业务</w:t>
            </w:r>
            <w:r w:rsidRPr="00497C7E">
              <w:rPr>
                <w:rFonts w:ascii="times" w:hAnsi="times"/>
                <w:b/>
                <w:sz w:val="24"/>
              </w:rPr>
              <w:t>2014</w:t>
            </w:r>
            <w:r w:rsidRPr="00497C7E">
              <w:rPr>
                <w:rFonts w:ascii="times" w:hAnsi="times" w:hint="eastAsia"/>
                <w:b/>
                <w:sz w:val="24"/>
              </w:rPr>
              <w:t>年发展策略如何？</w:t>
            </w:r>
            <w:r w:rsidRPr="00497C7E">
              <w:rPr>
                <w:rFonts w:ascii="times" w:hAnsi="times"/>
                <w:b/>
                <w:sz w:val="24"/>
              </w:rPr>
              <w:t xml:space="preserve"> </w:t>
            </w:r>
          </w:p>
          <w:p w:rsidR="00497C7E" w:rsidRDefault="00497C7E" w:rsidP="00497C7E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times" w:eastAsia="宋体" w:hint="eastAsia"/>
                <w:color w:val="auto"/>
                <w:szCs w:val="24"/>
              </w:rPr>
            </w:pPr>
            <w:r w:rsidRPr="00497C7E">
              <w:rPr>
                <w:rFonts w:ascii="times" w:eastAsia="宋体" w:hAnsi="times"/>
                <w:color w:val="auto"/>
                <w:szCs w:val="24"/>
              </w:rPr>
              <w:t>2014</w:t>
            </w:r>
            <w:r w:rsidRPr="00497C7E">
              <w:rPr>
                <w:rFonts w:ascii="times" w:eastAsia="宋体" w:hint="eastAsia"/>
                <w:color w:val="auto"/>
                <w:szCs w:val="24"/>
              </w:rPr>
              <w:t>年，同业业务将充分发挥产品和渠道优势，努力提升资本回报率，稳步扩大经营净收入。一是严控资产总量及风险资产占用，实现规模合理增长下的收入稳步提升；二是做好资产负债组合管理，确保全行流动性安全，努力提升资产收益率和风险资产回报率，追赶业内排头兵；三是扩大客户，提升销售，借助行</w:t>
            </w:r>
            <w:r w:rsidRPr="00497C7E">
              <w:rPr>
                <w:rFonts w:ascii="times" w:eastAsia="宋体" w:hAnsi="times"/>
                <w:color w:val="auto"/>
                <w:szCs w:val="24"/>
              </w:rPr>
              <w:t>E</w:t>
            </w:r>
            <w:r w:rsidRPr="00497C7E">
              <w:rPr>
                <w:rFonts w:ascii="times" w:eastAsia="宋体" w:hint="eastAsia"/>
                <w:color w:val="auto"/>
                <w:szCs w:val="24"/>
              </w:rPr>
              <w:t>通平台，扩大网上网下客户群体，提升客户体验和渗透率；四是严控风险，合</w:t>
            </w:r>
            <w:proofErr w:type="gramStart"/>
            <w:r w:rsidRPr="00497C7E">
              <w:rPr>
                <w:rFonts w:ascii="times" w:eastAsia="宋体" w:hint="eastAsia"/>
                <w:color w:val="auto"/>
                <w:szCs w:val="24"/>
              </w:rPr>
              <w:t>规</w:t>
            </w:r>
            <w:proofErr w:type="gramEnd"/>
            <w:r w:rsidRPr="00497C7E">
              <w:rPr>
                <w:rFonts w:ascii="times" w:eastAsia="宋体" w:hint="eastAsia"/>
                <w:color w:val="auto"/>
                <w:szCs w:val="24"/>
              </w:rPr>
              <w:t>经营，明确事前、事中、事后管理的流程和职责，强化同业队伍合</w:t>
            </w:r>
            <w:proofErr w:type="gramStart"/>
            <w:r w:rsidRPr="00497C7E">
              <w:rPr>
                <w:rFonts w:ascii="times" w:eastAsia="宋体" w:hint="eastAsia"/>
                <w:color w:val="auto"/>
                <w:szCs w:val="24"/>
              </w:rPr>
              <w:t>规</w:t>
            </w:r>
            <w:proofErr w:type="gramEnd"/>
            <w:r w:rsidRPr="00497C7E">
              <w:rPr>
                <w:rFonts w:ascii="times" w:eastAsia="宋体" w:hint="eastAsia"/>
                <w:color w:val="auto"/>
                <w:szCs w:val="24"/>
              </w:rPr>
              <w:t>经营意识。</w:t>
            </w:r>
          </w:p>
          <w:p w:rsidR="00497C7E" w:rsidRPr="00497C7E" w:rsidRDefault="00497C7E" w:rsidP="00497C7E">
            <w:pPr>
              <w:pStyle w:val="FAQ305050505"/>
              <w:spacing w:before="156" w:afterLines="0" w:line="276" w:lineRule="auto"/>
              <w:ind w:firstLineChars="200" w:firstLine="482"/>
              <w:rPr>
                <w:rFonts w:ascii="times" w:eastAsia="宋体" w:hAnsi="times"/>
                <w:b/>
                <w:color w:val="auto"/>
                <w:szCs w:val="24"/>
              </w:rPr>
            </w:pPr>
          </w:p>
          <w:p w:rsidR="00497C7E" w:rsidRPr="00497C7E" w:rsidRDefault="00497C7E" w:rsidP="00497C7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497C7E">
              <w:rPr>
                <w:rFonts w:ascii="times" w:hAnsi="times" w:hint="eastAsia"/>
                <w:b/>
                <w:sz w:val="24"/>
              </w:rPr>
              <w:t>目前贵行非标业务规模如何？是否满足监管规定？未来在这块的规划？</w:t>
            </w:r>
          </w:p>
          <w:p w:rsidR="00497C7E" w:rsidRPr="00497C7E" w:rsidRDefault="00497C7E" w:rsidP="00497C7E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times" w:eastAsia="宋体" w:hAnsi="times"/>
                <w:b/>
                <w:bCs/>
              </w:rPr>
            </w:pPr>
            <w:r w:rsidRPr="00497C7E">
              <w:rPr>
                <w:rFonts w:ascii="times" w:eastAsia="宋体" w:hint="eastAsia"/>
                <w:bCs/>
              </w:rPr>
              <w:lastRenderedPageBreak/>
              <w:t>报告期内，我行非标类债权业务控制在合理范围之内，均有明晰的产品制度、风险防范机制、运营操作流程，未有违背监管规定的情形。未来，我行将推进非标业务的</w:t>
            </w:r>
            <w:r w:rsidRPr="00497C7E">
              <w:rPr>
                <w:rFonts w:ascii="times" w:eastAsia="宋体" w:hAnsi="times" w:hint="eastAsia"/>
                <w:bCs/>
              </w:rPr>
              <w:t>“</w:t>
            </w:r>
            <w:r w:rsidRPr="00497C7E">
              <w:rPr>
                <w:rFonts w:ascii="times" w:eastAsia="宋体" w:hint="eastAsia"/>
                <w:bCs/>
              </w:rPr>
              <w:t>标准化</w:t>
            </w:r>
            <w:r w:rsidRPr="00497C7E">
              <w:rPr>
                <w:rFonts w:ascii="times" w:eastAsia="宋体" w:hAnsi="times" w:hint="eastAsia"/>
                <w:bCs/>
              </w:rPr>
              <w:t>”</w:t>
            </w:r>
            <w:r w:rsidRPr="00497C7E">
              <w:rPr>
                <w:rFonts w:ascii="times" w:eastAsia="宋体" w:hint="eastAsia"/>
                <w:bCs/>
              </w:rPr>
              <w:t>，进一步从制度、流程、操作上进行规范。</w:t>
            </w:r>
          </w:p>
          <w:p w:rsidR="00497C7E" w:rsidRPr="00497C7E" w:rsidRDefault="00497C7E" w:rsidP="00497C7E">
            <w:pPr>
              <w:pStyle w:val="FAQ305050505"/>
              <w:spacing w:before="156" w:afterLines="0" w:line="276" w:lineRule="auto"/>
              <w:ind w:firstLineChars="200" w:firstLine="482"/>
              <w:rPr>
                <w:rFonts w:ascii="times" w:eastAsia="宋体" w:hAnsi="times"/>
                <w:b/>
                <w:bCs/>
              </w:rPr>
            </w:pPr>
          </w:p>
          <w:p w:rsidR="00497C7E" w:rsidRPr="00497C7E" w:rsidRDefault="00497C7E" w:rsidP="00497C7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497C7E">
              <w:rPr>
                <w:rFonts w:ascii="times" w:hAnsi="times" w:hint="eastAsia"/>
                <w:b/>
                <w:sz w:val="24"/>
              </w:rPr>
              <w:t>贵行对同业业务的风险管理策略？</w:t>
            </w:r>
          </w:p>
          <w:p w:rsidR="00497C7E" w:rsidRDefault="00497C7E" w:rsidP="00497C7E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times" w:eastAsia="宋体" w:hint="eastAsia"/>
                <w:bCs/>
                <w:szCs w:val="24"/>
              </w:rPr>
            </w:pPr>
            <w:r w:rsidRPr="00497C7E">
              <w:rPr>
                <w:rFonts w:ascii="times" w:eastAsia="宋体" w:hint="eastAsia"/>
                <w:bCs/>
                <w:szCs w:val="24"/>
              </w:rPr>
              <w:t>根据国内银行业同业业务发展趋势、监管精神指引以及我行同业业务的内部定位，持续充实同业条</w:t>
            </w:r>
            <w:proofErr w:type="gramStart"/>
            <w:r w:rsidRPr="00497C7E">
              <w:rPr>
                <w:rFonts w:ascii="times" w:eastAsia="宋体" w:hint="eastAsia"/>
                <w:bCs/>
                <w:szCs w:val="24"/>
              </w:rPr>
              <w:t>线风险</w:t>
            </w:r>
            <w:proofErr w:type="gramEnd"/>
            <w:r w:rsidRPr="00497C7E">
              <w:rPr>
                <w:rFonts w:ascii="times" w:eastAsia="宋体" w:hint="eastAsia"/>
                <w:bCs/>
                <w:szCs w:val="24"/>
              </w:rPr>
              <w:t>管理力量，适时调整管理重点、完善管理手段。向资金同业条线派驻风险管理团队，以全面风险管理理念为指引，强化、落实对各主要业务品种的全流程管理。严格控制资金风险，高度关注流动性及市场风险，并采取针对性措施提高抵御相关风险能力，根据监管动态，不断审视我行相关业务的合</w:t>
            </w:r>
            <w:proofErr w:type="gramStart"/>
            <w:r w:rsidRPr="00497C7E">
              <w:rPr>
                <w:rFonts w:ascii="times" w:eastAsia="宋体" w:hint="eastAsia"/>
                <w:bCs/>
                <w:szCs w:val="24"/>
              </w:rPr>
              <w:t>规</w:t>
            </w:r>
            <w:proofErr w:type="gramEnd"/>
            <w:r w:rsidRPr="00497C7E">
              <w:rPr>
                <w:rFonts w:ascii="times" w:eastAsia="宋体" w:hint="eastAsia"/>
                <w:bCs/>
                <w:szCs w:val="24"/>
              </w:rPr>
              <w:t>性，确保资金同业业务持续健康发展。</w:t>
            </w:r>
          </w:p>
          <w:p w:rsidR="00497C7E" w:rsidRPr="00497C7E" w:rsidRDefault="00497C7E" w:rsidP="00497C7E">
            <w:pPr>
              <w:pStyle w:val="FAQ305050505"/>
              <w:spacing w:before="156" w:afterLines="0" w:line="276" w:lineRule="auto"/>
              <w:ind w:firstLineChars="200" w:firstLine="480"/>
              <w:rPr>
                <w:rFonts w:ascii="times" w:eastAsia="宋体" w:hAnsi="times"/>
                <w:color w:val="auto"/>
                <w:szCs w:val="24"/>
              </w:rPr>
            </w:pPr>
          </w:p>
          <w:p w:rsidR="00497C7E" w:rsidRPr="00497C7E" w:rsidRDefault="00497C7E" w:rsidP="00497C7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288" w:lineRule="auto"/>
              <w:rPr>
                <w:rFonts w:ascii="times" w:hAnsi="times"/>
                <w:b/>
                <w:sz w:val="24"/>
              </w:rPr>
            </w:pPr>
            <w:r w:rsidRPr="00497C7E">
              <w:rPr>
                <w:rFonts w:ascii="times" w:hAnsi="times" w:hint="eastAsia"/>
                <w:b/>
                <w:sz w:val="24"/>
              </w:rPr>
              <w:t>请简要介绍“行</w:t>
            </w:r>
            <w:r w:rsidRPr="00497C7E">
              <w:rPr>
                <w:rFonts w:ascii="times" w:hAnsi="times"/>
                <w:b/>
                <w:sz w:val="24"/>
              </w:rPr>
              <w:t>E</w:t>
            </w:r>
            <w:r w:rsidRPr="00497C7E">
              <w:rPr>
                <w:rFonts w:ascii="times" w:hAnsi="times" w:hint="eastAsia"/>
                <w:b/>
                <w:sz w:val="24"/>
              </w:rPr>
              <w:t>通”业务</w:t>
            </w:r>
          </w:p>
          <w:p w:rsidR="00497C7E" w:rsidRPr="00497C7E" w:rsidRDefault="00497C7E" w:rsidP="00497C7E">
            <w:pPr>
              <w:pStyle w:val="CM189ArialGB2312078"/>
              <w:adjustRightInd w:val="0"/>
              <w:snapToGrid w:val="0"/>
              <w:spacing w:before="156" w:afterLines="0" w:line="276" w:lineRule="auto"/>
              <w:ind w:firstLine="480"/>
              <w:rPr>
                <w:rFonts w:ascii="times" w:eastAsia="宋体" w:hAnsi="times"/>
                <w:bCs/>
              </w:rPr>
            </w:pPr>
            <w:r w:rsidRPr="00497C7E">
              <w:rPr>
                <w:rFonts w:ascii="times" w:eastAsia="宋体" w:hAnsi="times" w:hint="eastAsia"/>
                <w:bCs/>
              </w:rPr>
              <w:t>“</w:t>
            </w:r>
            <w:r w:rsidRPr="00497C7E">
              <w:rPr>
                <w:rFonts w:ascii="times" w:eastAsia="宋体" w:hint="eastAsia"/>
                <w:bCs/>
              </w:rPr>
              <w:t>行</w:t>
            </w:r>
            <w:r w:rsidRPr="00497C7E">
              <w:rPr>
                <w:rFonts w:ascii="times" w:eastAsia="宋体" w:hAnsi="times"/>
                <w:bCs/>
              </w:rPr>
              <w:t>E</w:t>
            </w:r>
            <w:r w:rsidRPr="00497C7E">
              <w:rPr>
                <w:rFonts w:ascii="times" w:eastAsia="宋体" w:hint="eastAsia"/>
                <w:bCs/>
              </w:rPr>
              <w:t>通平台</w:t>
            </w:r>
            <w:r w:rsidRPr="00497C7E">
              <w:rPr>
                <w:rFonts w:ascii="times" w:eastAsia="宋体" w:hAnsi="times" w:hint="eastAsia"/>
                <w:bCs/>
              </w:rPr>
              <w:t>”</w:t>
            </w:r>
            <w:r w:rsidRPr="00497C7E">
              <w:rPr>
                <w:rFonts w:ascii="times" w:eastAsia="宋体" w:hint="eastAsia"/>
                <w:bCs/>
              </w:rPr>
              <w:t>是集产品管理、产品销售、客户管理、绩效管理、营销管理、数据管理、资讯和登记服务为一体的以同业客户为主的综合服务平台。平台目前包括专线和互联网两种合作方式，专线模式是指通过专线连接平安银行与合作金融机构，扩展合作机构交易渠道，增加其金融产品和服务，实现资金划拨清算。目前已涵盖了第三方存管代理、贵金属代理、同业理财、柜面互通、第三方支付、保费代收付、代理远期结售汇、信用卡代还款、</w:t>
            </w:r>
            <w:proofErr w:type="gramStart"/>
            <w:r w:rsidRPr="00497C7E">
              <w:rPr>
                <w:rFonts w:ascii="times" w:eastAsia="宋体" w:hint="eastAsia"/>
                <w:bCs/>
              </w:rPr>
              <w:t>黄金定投及</w:t>
            </w:r>
            <w:proofErr w:type="gramEnd"/>
            <w:r w:rsidRPr="00497C7E">
              <w:rPr>
                <w:rFonts w:ascii="times" w:eastAsia="宋体" w:hint="eastAsia"/>
                <w:bCs/>
              </w:rPr>
              <w:t>代理基金等多项服务领域。互联网模式于</w:t>
            </w:r>
            <w:r w:rsidRPr="00497C7E">
              <w:rPr>
                <w:rFonts w:ascii="times" w:eastAsia="宋体" w:hAnsi="times"/>
                <w:bCs/>
              </w:rPr>
              <w:t>2013</w:t>
            </w:r>
            <w:r w:rsidRPr="00497C7E">
              <w:rPr>
                <w:rFonts w:ascii="times" w:eastAsia="宋体" w:hint="eastAsia"/>
                <w:bCs/>
              </w:rPr>
              <w:t>年正式上线，向银行、券商、基金、信托、保险等各类金融机构开放，注册金融机构可在线交易同业产品。截至</w:t>
            </w:r>
            <w:r w:rsidRPr="00497C7E">
              <w:rPr>
                <w:rFonts w:ascii="times" w:eastAsia="宋体" w:hAnsi="times"/>
                <w:bCs/>
              </w:rPr>
              <w:t>13</w:t>
            </w:r>
            <w:r w:rsidRPr="00497C7E">
              <w:rPr>
                <w:rFonts w:ascii="times" w:eastAsia="宋体" w:hint="eastAsia"/>
                <w:bCs/>
              </w:rPr>
              <w:t>年底，行</w:t>
            </w:r>
            <w:r w:rsidRPr="00497C7E">
              <w:rPr>
                <w:rFonts w:ascii="times" w:eastAsia="宋体" w:hAnsi="times"/>
                <w:bCs/>
              </w:rPr>
              <w:t>E</w:t>
            </w:r>
            <w:r w:rsidRPr="00497C7E">
              <w:rPr>
                <w:rFonts w:ascii="times" w:eastAsia="宋体" w:hint="eastAsia"/>
                <w:bCs/>
              </w:rPr>
              <w:t>通平台拥有金融机构客户超百家，覆盖城商行、农商行、农联社体系、券商、基金、信托等多个金融领域。行</w:t>
            </w:r>
            <w:r w:rsidRPr="00497C7E">
              <w:rPr>
                <w:rFonts w:ascii="times" w:eastAsia="宋体" w:hAnsi="times"/>
                <w:bCs/>
              </w:rPr>
              <w:t>E</w:t>
            </w:r>
            <w:r w:rsidRPr="00497C7E">
              <w:rPr>
                <w:rFonts w:ascii="times" w:eastAsia="宋体" w:hint="eastAsia"/>
                <w:bCs/>
              </w:rPr>
              <w:t>通平台丰富了合作机构的产品线，提升了合作银行客户营销的专业性，提高了</w:t>
            </w:r>
            <w:proofErr w:type="gramStart"/>
            <w:r w:rsidRPr="00497C7E">
              <w:rPr>
                <w:rFonts w:ascii="times" w:eastAsia="宋体" w:hint="eastAsia"/>
                <w:bCs/>
              </w:rPr>
              <w:t>其获客能力</w:t>
            </w:r>
            <w:proofErr w:type="gramEnd"/>
            <w:r w:rsidRPr="00497C7E">
              <w:rPr>
                <w:rFonts w:ascii="times" w:eastAsia="宋体" w:hint="eastAsia"/>
                <w:bCs/>
              </w:rPr>
              <w:t>，增强了其市场竞争力。同时，也丰富了地方金融市场，有利于地方金融的稳定发展。合作机构的客户可以通过柜面、客户端、互联网等便利的渠道，直接、安全的享受到先进的金融产品和服务。合作机构无需进行重复的业务系统开发，无需再与平台中众多其他机构分别开发和对接系统，也无需配备大量的后台运营人员，大大降低了业务开发成本和后期运营维护成本。</w:t>
            </w:r>
          </w:p>
          <w:p w:rsidR="00497C7E" w:rsidRPr="00497C7E" w:rsidRDefault="00497C7E" w:rsidP="00497C7E">
            <w:pPr>
              <w:pStyle w:val="CM189ArialGB2312078"/>
              <w:adjustRightInd w:val="0"/>
              <w:snapToGrid w:val="0"/>
              <w:spacing w:before="156" w:afterLines="0" w:line="276" w:lineRule="auto"/>
              <w:ind w:firstLine="480"/>
              <w:rPr>
                <w:rFonts w:ascii="times" w:eastAsia="宋体" w:hAnsi="times"/>
                <w:bCs/>
              </w:rPr>
            </w:pPr>
            <w:r w:rsidRPr="00497C7E">
              <w:rPr>
                <w:rFonts w:ascii="times" w:eastAsia="宋体" w:hint="eastAsia"/>
                <w:bCs/>
              </w:rPr>
              <w:lastRenderedPageBreak/>
              <w:t>未来规划方面，一是持续创新，丰富合作模式，从现有的一对一（平安银行对合作机构）合作模式逐步发展为多对多（</w:t>
            </w:r>
            <w:r w:rsidRPr="00497C7E">
              <w:rPr>
                <w:rFonts w:ascii="times" w:eastAsia="宋体" w:hAnsi="times" w:hint="eastAsia"/>
                <w:bCs/>
              </w:rPr>
              <w:t>“</w:t>
            </w:r>
            <w:r w:rsidRPr="00497C7E">
              <w:rPr>
                <w:rFonts w:ascii="times" w:eastAsia="宋体" w:hint="eastAsia"/>
                <w:bCs/>
              </w:rPr>
              <w:t>行</w:t>
            </w:r>
            <w:r w:rsidRPr="00497C7E">
              <w:rPr>
                <w:rFonts w:ascii="times" w:eastAsia="宋体" w:hAnsi="times"/>
                <w:bCs/>
              </w:rPr>
              <w:t>E</w:t>
            </w:r>
            <w:r w:rsidRPr="00497C7E">
              <w:rPr>
                <w:rFonts w:ascii="times" w:eastAsia="宋体" w:hint="eastAsia"/>
                <w:bCs/>
              </w:rPr>
              <w:t>通</w:t>
            </w:r>
            <w:r w:rsidRPr="00497C7E">
              <w:rPr>
                <w:rFonts w:ascii="times" w:eastAsia="宋体" w:hAnsi="times" w:hint="eastAsia"/>
                <w:bCs/>
              </w:rPr>
              <w:t>”</w:t>
            </w:r>
            <w:r w:rsidRPr="00497C7E">
              <w:rPr>
                <w:rFonts w:ascii="times" w:eastAsia="宋体" w:hint="eastAsia"/>
                <w:bCs/>
              </w:rPr>
              <w:t>客户间自由交互合作）的交互合作模式，促进金融机构优势互补，合作共赢；二是丰富产品种类，进一步完善各项代理产品和资金类产品，让更多的客户分享到全金融产品线带来的服务；三是由单纯的产品服务向集产品、资讯、管理、客户体验等全面配套的一体化服务转变，用优质的服务和稳定安全的系统吸引潜在客户。</w:t>
            </w:r>
          </w:p>
          <w:p w:rsidR="00217D1A" w:rsidRPr="00497C7E" w:rsidRDefault="00217D1A" w:rsidP="00AB67BB">
            <w:pPr>
              <w:autoSpaceDE w:val="0"/>
              <w:autoSpaceDN w:val="0"/>
              <w:adjustRightInd w:val="0"/>
              <w:snapToGrid w:val="0"/>
              <w:spacing w:beforeLines="50" w:line="288" w:lineRule="auto"/>
              <w:ind w:left="318" w:firstLineChars="200" w:firstLine="480"/>
              <w:jc w:val="left"/>
              <w:rPr>
                <w:rFonts w:ascii="times" w:hAnsi="times" w:cs="宋体"/>
                <w:sz w:val="24"/>
                <w:lang w:val="zh-CN"/>
              </w:rPr>
            </w:pPr>
          </w:p>
          <w:p w:rsidR="00EE1C10" w:rsidRPr="00497C7E" w:rsidRDefault="00A140B8" w:rsidP="00D87038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接待过程中，公司接待人员与投资者进行了充分的交流与沟通，严格按照有关制度规定，没有出现未公开重大信息泄露等情况，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团体接待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未签署《承诺书》。</w:t>
            </w:r>
          </w:p>
        </w:tc>
      </w:tr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217D1A" w:rsidP="00FF0263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2014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年</w:t>
            </w:r>
            <w:r w:rsidR="00FF0263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一季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度业绩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PPT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（请参见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bank.pingan.com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投资者关系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-</w:t>
            </w:r>
            <w:r w:rsidR="00D87038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公司推介栏目）</w:t>
            </w:r>
          </w:p>
        </w:tc>
      </w:tr>
      <w:tr w:rsidR="00EE1C10" w:rsidRPr="00497C7E" w:rsidTr="00B07D0C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497C7E" w:rsidRDefault="00EE1C10" w:rsidP="00B07D0C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497C7E" w:rsidRDefault="00761259" w:rsidP="00497C7E">
            <w:pPr>
              <w:spacing w:line="480" w:lineRule="atLeast"/>
              <w:rPr>
                <w:rFonts w:ascii="times" w:hAnsi="times"/>
                <w:bCs/>
                <w:iCs/>
                <w:color w:val="000000"/>
                <w:sz w:val="24"/>
              </w:rPr>
            </w:pP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201</w:t>
            </w:r>
            <w:r w:rsidR="00B84A84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4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497C7E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5</w:t>
            </w:r>
            <w:r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.</w:t>
            </w:r>
            <w:r w:rsidR="00497C7E" w:rsidRPr="00497C7E">
              <w:rPr>
                <w:rFonts w:ascii="times" w:hAnsi="times" w:hint="eastAsia"/>
                <w:bCs/>
                <w:iCs/>
                <w:color w:val="000000"/>
                <w:sz w:val="24"/>
              </w:rPr>
              <w:t>8</w:t>
            </w:r>
          </w:p>
        </w:tc>
      </w:tr>
    </w:tbl>
    <w:p w:rsidR="00EE1C10" w:rsidRPr="00497C7E" w:rsidRDefault="00EE1C10" w:rsidP="00EE1C10">
      <w:pPr>
        <w:jc w:val="center"/>
        <w:rPr>
          <w:rFonts w:ascii="times" w:hAnsi="times"/>
          <w:sz w:val="28"/>
          <w:szCs w:val="28"/>
        </w:rPr>
      </w:pPr>
    </w:p>
    <w:p w:rsidR="00941F1C" w:rsidRPr="00497C7E" w:rsidRDefault="00941F1C">
      <w:pPr>
        <w:rPr>
          <w:rFonts w:ascii="times" w:hAnsi="times"/>
        </w:rPr>
      </w:pPr>
    </w:p>
    <w:sectPr w:rsidR="00941F1C" w:rsidRPr="00497C7E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2C6" w:rsidRDefault="003B12C6" w:rsidP="00D96584">
      <w:r>
        <w:separator/>
      </w:r>
    </w:p>
  </w:endnote>
  <w:endnote w:type="continuationSeparator" w:id="0">
    <w:p w:rsidR="003B12C6" w:rsidRDefault="003B12C6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2C6" w:rsidRDefault="003B12C6" w:rsidP="00D96584">
      <w:r>
        <w:separator/>
      </w:r>
    </w:p>
  </w:footnote>
  <w:footnote w:type="continuationSeparator" w:id="0">
    <w:p w:rsidR="003B12C6" w:rsidRDefault="003B12C6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5B7F6B72"/>
    <w:multiLevelType w:val="hybridMultilevel"/>
    <w:tmpl w:val="2524439C"/>
    <w:lvl w:ilvl="0" w:tplc="24D0BD9C">
      <w:start w:val="1"/>
      <w:numFmt w:val="decimal"/>
      <w:pStyle w:val="30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8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9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B3693"/>
    <w:rsid w:val="00101C48"/>
    <w:rsid w:val="00130F3C"/>
    <w:rsid w:val="0015535F"/>
    <w:rsid w:val="001B33AC"/>
    <w:rsid w:val="001B72DE"/>
    <w:rsid w:val="001C10A8"/>
    <w:rsid w:val="001D2529"/>
    <w:rsid w:val="001E2C63"/>
    <w:rsid w:val="00217D1A"/>
    <w:rsid w:val="003317E5"/>
    <w:rsid w:val="003B107D"/>
    <w:rsid w:val="003B12C6"/>
    <w:rsid w:val="003B721F"/>
    <w:rsid w:val="0043629D"/>
    <w:rsid w:val="00497C7E"/>
    <w:rsid w:val="004B47B1"/>
    <w:rsid w:val="0051123B"/>
    <w:rsid w:val="00535D6F"/>
    <w:rsid w:val="00550FD9"/>
    <w:rsid w:val="00622C3A"/>
    <w:rsid w:val="00623A26"/>
    <w:rsid w:val="0063326E"/>
    <w:rsid w:val="006A1753"/>
    <w:rsid w:val="006F64B3"/>
    <w:rsid w:val="00761259"/>
    <w:rsid w:val="008710F9"/>
    <w:rsid w:val="008A4E3E"/>
    <w:rsid w:val="00921892"/>
    <w:rsid w:val="00941F1C"/>
    <w:rsid w:val="00951547"/>
    <w:rsid w:val="009F13CD"/>
    <w:rsid w:val="00A140B8"/>
    <w:rsid w:val="00AB67BB"/>
    <w:rsid w:val="00B31C4E"/>
    <w:rsid w:val="00B84A84"/>
    <w:rsid w:val="00BB741D"/>
    <w:rsid w:val="00BE11BC"/>
    <w:rsid w:val="00C35BCB"/>
    <w:rsid w:val="00C51768"/>
    <w:rsid w:val="00C81677"/>
    <w:rsid w:val="00CB4AC9"/>
    <w:rsid w:val="00D87038"/>
    <w:rsid w:val="00D96584"/>
    <w:rsid w:val="00E733AB"/>
    <w:rsid w:val="00EE1C10"/>
    <w:rsid w:val="00EE4F68"/>
    <w:rsid w:val="00EE7C01"/>
    <w:rsid w:val="00F16F75"/>
    <w:rsid w:val="00FE4AFD"/>
    <w:rsid w:val="00FF0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0">
    <w:name w:val="heading 3"/>
    <w:basedOn w:val="a"/>
    <w:next w:val="a"/>
    <w:link w:val="3Char"/>
    <w:autoRedefine/>
    <w:uiPriority w:val="99"/>
    <w:qFormat/>
    <w:rsid w:val="00CB4AC9"/>
    <w:pPr>
      <w:widowControl/>
      <w:numPr>
        <w:numId w:val="3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480" w:afterLines="50"/>
      <w:jc w:val="left"/>
      <w:textAlignment w:val="baseline"/>
      <w:outlineLvl w:val="2"/>
    </w:pPr>
    <w:rPr>
      <w:rFonts w:ascii="方正准圆_GBK_平安专用" w:eastAsia="方正准圆_GBK_平安专用" w:hAnsi="Arial"/>
      <w:b/>
      <w:bCs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CB4AC9"/>
    <w:rPr>
      <w:rFonts w:ascii="方正准圆_GBK_平安专用" w:eastAsia="方正准圆_GBK_平安专用" w:hAnsi="Arial" w:cs="Times New Roman"/>
      <w:b/>
      <w:bCs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kern w:val="0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after="156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268</Words>
  <Characters>1532</Characters>
  <Application>Microsoft Office Word</Application>
  <DocSecurity>0</DocSecurity>
  <Lines>12</Lines>
  <Paragraphs>3</Paragraphs>
  <ScaleCrop>false</ScaleCrop>
  <Company>sdb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3</cp:revision>
  <dcterms:created xsi:type="dcterms:W3CDTF">2014-06-23T12:54:00Z</dcterms:created>
  <dcterms:modified xsi:type="dcterms:W3CDTF">2014-06-23T12:59:00Z</dcterms:modified>
</cp:coreProperties>
</file>