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05090F" w:rsidRDefault="00EE1C10" w:rsidP="00AB67BB">
      <w:pPr>
        <w:spacing w:beforeLines="50" w:afterLines="50"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>证券代码：</w:t>
      </w:r>
      <w:r w:rsidRPr="0005090F">
        <w:rPr>
          <w:rFonts w:ascii="times" w:hAnsi="times" w:hint="eastAsia"/>
          <w:bCs/>
          <w:iCs/>
          <w:color w:val="000000"/>
          <w:sz w:val="24"/>
        </w:rPr>
        <w:t xml:space="preserve">000001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证券简称：</w:t>
      </w:r>
      <w:r w:rsidR="00D96584" w:rsidRPr="0005090F">
        <w:rPr>
          <w:rFonts w:ascii="times" w:hAnsi="times" w:hint="eastAsia"/>
          <w:bCs/>
          <w:iCs/>
          <w:color w:val="000000"/>
          <w:sz w:val="24"/>
        </w:rPr>
        <w:t>平安银行</w:t>
      </w:r>
    </w:p>
    <w:p w:rsidR="00EE1C10" w:rsidRPr="0005090F" w:rsidRDefault="003317E5" w:rsidP="00AB67BB">
      <w:pPr>
        <w:spacing w:beforeLines="50" w:afterLines="50" w:line="400" w:lineRule="exact"/>
        <w:jc w:val="center"/>
        <w:rPr>
          <w:rFonts w:ascii="times" w:hAnsi="times"/>
          <w:b/>
          <w:bCs/>
          <w:iCs/>
          <w:color w:val="000000"/>
          <w:sz w:val="32"/>
          <w:szCs w:val="32"/>
        </w:rPr>
      </w:pPr>
      <w:r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平安</w:t>
      </w:r>
      <w:r w:rsidR="00EE1C10" w:rsidRPr="0005090F">
        <w:rPr>
          <w:rFonts w:ascii="times" w:hAnsi="times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05090F" w:rsidRDefault="00EE1C10" w:rsidP="00EE1C10">
      <w:pPr>
        <w:spacing w:line="400" w:lineRule="exact"/>
        <w:rPr>
          <w:rFonts w:ascii="times" w:hAnsi="times"/>
          <w:bCs/>
          <w:iCs/>
          <w:color w:val="000000"/>
          <w:sz w:val="24"/>
        </w:rPr>
      </w:pPr>
      <w:r w:rsidRPr="0005090F">
        <w:rPr>
          <w:rFonts w:ascii="times" w:hAnsi="times" w:hint="eastAsia"/>
          <w:bCs/>
          <w:iCs/>
          <w:color w:val="000000"/>
          <w:sz w:val="24"/>
        </w:rPr>
        <w:t xml:space="preserve">                                                         </w:t>
      </w:r>
      <w:r w:rsidRPr="0005090F">
        <w:rPr>
          <w:rFonts w:ascii="times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F0263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特定对象调研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 xml:space="preserve">        </w:t>
            </w:r>
            <w:r w:rsidR="00EE1C10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分析师会议</w:t>
            </w:r>
          </w:p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媒体采访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  </w:t>
            </w:r>
            <w:r w:rsidR="00FF0263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业绩说明会</w:t>
            </w:r>
          </w:p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新闻发布会</w:t>
            </w:r>
            <w:r w:rsidRPr="0005090F">
              <w:rPr>
                <w:rFonts w:ascii="times" w:hAnsi="times" w:hint="eastAsia"/>
                <w:sz w:val="28"/>
                <w:szCs w:val="28"/>
              </w:rPr>
              <w:t xml:space="preserve">          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路演活动</w:t>
            </w:r>
          </w:p>
          <w:p w:rsidR="00EE1C10" w:rsidRPr="0005090F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05090F">
              <w:rPr>
                <w:rFonts w:ascii="times" w:hAnsi="times" w:hint="eastAsia"/>
                <w:sz w:val="28"/>
                <w:szCs w:val="28"/>
              </w:rPr>
              <w:t>现场参观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ab/>
            </w:r>
          </w:p>
          <w:p w:rsidR="00EE1C10" w:rsidRPr="0005090F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05090F">
              <w:rPr>
                <w:rFonts w:ascii="times" w:hAnsi="times" w:hint="eastAsia"/>
                <w:sz w:val="28"/>
                <w:szCs w:val="28"/>
              </w:rPr>
              <w:t>其他</w:t>
            </w:r>
          </w:p>
        </w:tc>
      </w:tr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05090F" w:rsidP="00B84A8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平安</w:t>
            </w:r>
            <w:r w:rsidR="00FF0263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证券及国内主要基金</w:t>
            </w:r>
          </w:p>
        </w:tc>
      </w:tr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43629D" w:rsidP="0005090F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497C7E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5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月</w:t>
            </w:r>
            <w:r w:rsidR="0005090F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15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217D1A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FF0263" w:rsidP="0005090F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董事会办公室</w:t>
            </w:r>
            <w:r w:rsidR="00497C7E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、</w:t>
            </w:r>
            <w:r w:rsidR="0005090F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风险管理部</w:t>
            </w:r>
          </w:p>
        </w:tc>
      </w:tr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05090F" w:rsidRDefault="00D87038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  <w:p w:rsidR="0005090F" w:rsidRPr="0005090F" w:rsidRDefault="0005090F" w:rsidP="0005090F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bookmarkStart w:id="0" w:name="_Toc349148752"/>
            <w:r w:rsidRPr="0005090F">
              <w:rPr>
                <w:rFonts w:ascii="times" w:hAnsi="times" w:hint="eastAsia"/>
                <w:b/>
                <w:sz w:val="24"/>
              </w:rPr>
              <w:t>贵行</w:t>
            </w:r>
            <w:r w:rsidRPr="0005090F">
              <w:rPr>
                <w:rFonts w:ascii="times" w:hAnsi="times"/>
                <w:b/>
                <w:sz w:val="24"/>
              </w:rPr>
              <w:t>2014</w:t>
            </w:r>
            <w:r w:rsidRPr="0005090F">
              <w:rPr>
                <w:rFonts w:ascii="times" w:hAnsi="times" w:hint="eastAsia"/>
                <w:b/>
                <w:sz w:val="24"/>
              </w:rPr>
              <w:t>年的信贷投放政策</w:t>
            </w:r>
            <w:bookmarkEnd w:id="0"/>
          </w:p>
          <w:p w:rsidR="0005090F" w:rsidRPr="0005090F" w:rsidRDefault="0005090F" w:rsidP="0005090F">
            <w:pPr>
              <w:widowControl/>
              <w:overflowPunct w:val="0"/>
              <w:spacing w:beforeLines="50" w:line="276" w:lineRule="auto"/>
              <w:ind w:firstLineChars="177" w:firstLine="425"/>
              <w:rPr>
                <w:rFonts w:ascii="Arial" w:hAnsi="Arial"/>
                <w:sz w:val="24"/>
                <w:lang w:bidi="en-US"/>
              </w:rPr>
            </w:pPr>
            <w:r w:rsidRPr="0005090F">
              <w:rPr>
                <w:rFonts w:ascii="Arial" w:hAnsi="Arial" w:hint="eastAsia"/>
                <w:sz w:val="24"/>
                <w:lang w:bidi="en-US"/>
              </w:rPr>
              <w:t>（</w:t>
            </w:r>
            <w:r w:rsidRPr="0005090F">
              <w:rPr>
                <w:rFonts w:ascii="Arial" w:hAnsi="Arial"/>
                <w:sz w:val="24"/>
                <w:lang w:bidi="en-US"/>
              </w:rPr>
              <w:t>1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）</w:t>
            </w:r>
            <w:r w:rsidRPr="0005090F">
              <w:rPr>
                <w:rFonts w:ascii="Arial" w:hAnsi="Arial"/>
                <w:sz w:val="24"/>
                <w:lang w:bidi="en-US"/>
              </w:rPr>
              <w:t>2014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年，我行各项业务和发展将进一步推进结构优化、效益提升和资本节约的内涵式发展道路。同时借助集团综合金融的优势，逐步实现向客户资产整合管理转变的发展战略。</w:t>
            </w:r>
          </w:p>
          <w:p w:rsidR="0005090F" w:rsidRPr="0005090F" w:rsidRDefault="0005090F" w:rsidP="0005090F">
            <w:pPr>
              <w:overflowPunct w:val="0"/>
              <w:spacing w:beforeLines="50" w:line="276" w:lineRule="auto"/>
              <w:ind w:firstLineChars="177" w:firstLine="425"/>
              <w:rPr>
                <w:rFonts w:ascii="Arial" w:hAnsi="Arial"/>
                <w:sz w:val="24"/>
                <w:lang w:bidi="en-US"/>
              </w:rPr>
            </w:pPr>
            <w:r w:rsidRPr="0005090F">
              <w:rPr>
                <w:rFonts w:ascii="Arial" w:hAnsi="Arial" w:hint="eastAsia"/>
                <w:sz w:val="24"/>
                <w:lang w:bidi="en-US"/>
              </w:rPr>
              <w:t>（</w:t>
            </w:r>
            <w:r w:rsidRPr="0005090F">
              <w:rPr>
                <w:rFonts w:ascii="Arial" w:hAnsi="Arial"/>
                <w:sz w:val="24"/>
                <w:lang w:bidi="en-US"/>
              </w:rPr>
              <w:t>2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）选择与国计民生、技术转型升级密切相关的行业和领域提供金融服务，由资产持有银行向资产管理银行转型。</w:t>
            </w:r>
            <w:r w:rsidRPr="0005090F">
              <w:rPr>
                <w:rFonts w:ascii="Arial" w:hAnsi="Arial"/>
                <w:sz w:val="24"/>
                <w:lang w:bidi="en-US"/>
              </w:rPr>
              <w:t xml:space="preserve"> </w:t>
            </w:r>
          </w:p>
          <w:p w:rsidR="0005090F" w:rsidRPr="0005090F" w:rsidRDefault="0005090F" w:rsidP="0005090F">
            <w:pPr>
              <w:widowControl/>
              <w:overflowPunct w:val="0"/>
              <w:spacing w:beforeLines="50" w:line="276" w:lineRule="auto"/>
              <w:ind w:firstLineChars="177" w:firstLine="425"/>
              <w:rPr>
                <w:rFonts w:ascii="Arial" w:hAnsi="Arial"/>
                <w:sz w:val="24"/>
                <w:lang w:bidi="en-US"/>
              </w:rPr>
            </w:pPr>
            <w:r w:rsidRPr="0005090F">
              <w:rPr>
                <w:rFonts w:ascii="Arial" w:hAnsi="Arial" w:hint="eastAsia"/>
                <w:sz w:val="24"/>
                <w:lang w:bidi="en-US"/>
              </w:rPr>
              <w:t>（</w:t>
            </w:r>
            <w:r w:rsidRPr="0005090F">
              <w:rPr>
                <w:rFonts w:ascii="Arial" w:hAnsi="Arial"/>
                <w:sz w:val="24"/>
                <w:lang w:bidi="en-US"/>
              </w:rPr>
              <w:t>3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）坚持规划先行，批量开发，强力推动小企业业务发展。</w:t>
            </w:r>
          </w:p>
          <w:p w:rsidR="0005090F" w:rsidRPr="0005090F" w:rsidRDefault="0005090F" w:rsidP="0005090F">
            <w:pPr>
              <w:widowControl/>
              <w:overflowPunct w:val="0"/>
              <w:spacing w:beforeLines="50" w:line="276" w:lineRule="auto"/>
              <w:ind w:firstLineChars="177" w:firstLine="425"/>
              <w:rPr>
                <w:rFonts w:ascii="Arial" w:hAnsi="Arial"/>
                <w:sz w:val="24"/>
                <w:lang w:bidi="en-US"/>
              </w:rPr>
            </w:pPr>
            <w:r w:rsidRPr="0005090F">
              <w:rPr>
                <w:rFonts w:ascii="Arial" w:hAnsi="Arial" w:hint="eastAsia"/>
                <w:sz w:val="24"/>
                <w:lang w:bidi="en-US"/>
              </w:rPr>
              <w:t>（</w:t>
            </w:r>
            <w:r w:rsidRPr="0005090F">
              <w:rPr>
                <w:rFonts w:ascii="Arial" w:hAnsi="Arial"/>
                <w:sz w:val="24"/>
                <w:lang w:bidi="en-US"/>
              </w:rPr>
              <w:t>4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）资产和负债业务并重，推动零售业务转型。拓展和深挖目标客户群，进一步向中小企业和个人金融倾斜，向零售金融和财富管理进军，提升可持续竞争能力和抗风险能力。</w:t>
            </w:r>
          </w:p>
          <w:p w:rsidR="0005090F" w:rsidRPr="0005090F" w:rsidRDefault="0005090F" w:rsidP="0005090F">
            <w:pPr>
              <w:widowControl/>
              <w:overflowPunct w:val="0"/>
              <w:spacing w:beforeLines="50" w:line="276" w:lineRule="auto"/>
              <w:ind w:firstLineChars="177" w:firstLine="425"/>
              <w:rPr>
                <w:rFonts w:ascii="Arial" w:hAnsi="Arial"/>
                <w:sz w:val="24"/>
                <w:lang w:bidi="en-US"/>
              </w:rPr>
            </w:pPr>
            <w:r w:rsidRPr="0005090F">
              <w:rPr>
                <w:rFonts w:ascii="Arial" w:hAnsi="Arial" w:hint="eastAsia"/>
                <w:sz w:val="24"/>
                <w:lang w:bidi="en-US"/>
              </w:rPr>
              <w:lastRenderedPageBreak/>
              <w:t>（</w:t>
            </w:r>
            <w:r w:rsidRPr="0005090F">
              <w:rPr>
                <w:rFonts w:ascii="Arial" w:hAnsi="Arial"/>
                <w:sz w:val="24"/>
                <w:lang w:bidi="en-US"/>
              </w:rPr>
              <w:t>5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）平衡收益与流动性，规范发展同业业务。贯彻</w:t>
            </w:r>
            <w:r w:rsidRPr="0005090F">
              <w:rPr>
                <w:rFonts w:ascii="Arial" w:hAnsi="Arial"/>
                <w:sz w:val="24"/>
                <w:lang w:bidi="en-US"/>
              </w:rPr>
              <w:t>8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号文件精神，规范同业业务发展；贯彻</w:t>
            </w:r>
            <w:r w:rsidRPr="0005090F">
              <w:rPr>
                <w:rFonts w:ascii="Arial" w:hAnsi="Arial"/>
                <w:sz w:val="24"/>
                <w:lang w:bidi="en-US"/>
              </w:rPr>
              <w:t>107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号文件精神，将代客理财资金与自有资金分开使用，不购买本行贷款，不开展理财资金池业务，做到资金来源与运用一一对应。</w:t>
            </w:r>
          </w:p>
          <w:p w:rsidR="0005090F" w:rsidRPr="0005090F" w:rsidRDefault="0005090F" w:rsidP="0005090F">
            <w:pPr>
              <w:widowControl/>
              <w:overflowPunct w:val="0"/>
              <w:snapToGrid w:val="0"/>
              <w:spacing w:beforeLines="50" w:line="276" w:lineRule="auto"/>
              <w:ind w:firstLine="420"/>
              <w:outlineLvl w:val="2"/>
              <w:rPr>
                <w:rFonts w:ascii="Arial" w:hAnsi="Arial"/>
                <w:sz w:val="24"/>
                <w:lang w:bidi="en-US"/>
              </w:rPr>
            </w:pPr>
            <w:r w:rsidRPr="0005090F">
              <w:rPr>
                <w:rFonts w:ascii="Arial" w:hAnsi="Arial" w:hint="eastAsia"/>
                <w:sz w:val="24"/>
                <w:lang w:bidi="en-US"/>
              </w:rPr>
              <w:t>（</w:t>
            </w:r>
            <w:r w:rsidRPr="0005090F">
              <w:rPr>
                <w:rFonts w:ascii="Arial" w:hAnsi="Arial"/>
                <w:sz w:val="24"/>
                <w:lang w:bidi="en-US"/>
              </w:rPr>
              <w:t>6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）顺应互联网金融高速发展的大趋势，加快平台建设，打造先进的网络金融综合服务体系。</w:t>
            </w:r>
          </w:p>
          <w:p w:rsidR="0005090F" w:rsidRDefault="0005090F" w:rsidP="0005090F">
            <w:pPr>
              <w:widowControl/>
              <w:overflowPunct w:val="0"/>
              <w:spacing w:beforeLines="50" w:line="276" w:lineRule="auto"/>
              <w:ind w:firstLineChars="175" w:firstLine="420"/>
              <w:outlineLvl w:val="2"/>
              <w:rPr>
                <w:rFonts w:ascii="Arial" w:hAnsi="Arial" w:hint="eastAsia"/>
                <w:sz w:val="24"/>
              </w:rPr>
            </w:pPr>
            <w:r w:rsidRPr="0005090F">
              <w:rPr>
                <w:rFonts w:ascii="Arial" w:hAnsi="Arial" w:hint="eastAsia"/>
                <w:sz w:val="24"/>
                <w:lang w:bidi="en-US"/>
              </w:rPr>
              <w:t>（</w:t>
            </w:r>
            <w:r w:rsidRPr="0005090F">
              <w:rPr>
                <w:rFonts w:ascii="Arial" w:hAnsi="Arial"/>
                <w:sz w:val="24"/>
                <w:lang w:bidi="en-US"/>
              </w:rPr>
              <w:t>7</w:t>
            </w:r>
            <w:r w:rsidRPr="0005090F">
              <w:rPr>
                <w:rFonts w:ascii="Arial" w:hAnsi="Arial" w:hint="eastAsia"/>
                <w:sz w:val="24"/>
                <w:lang w:bidi="en-US"/>
              </w:rPr>
              <w:t>）</w:t>
            </w:r>
            <w:r w:rsidRPr="0005090F">
              <w:rPr>
                <w:rFonts w:ascii="Arial" w:hAnsi="Arial" w:hint="eastAsia"/>
                <w:sz w:val="24"/>
              </w:rPr>
              <w:t>结合产业调整和战略转型，严守风险和合</w:t>
            </w:r>
            <w:proofErr w:type="gramStart"/>
            <w:r w:rsidRPr="0005090F">
              <w:rPr>
                <w:rFonts w:ascii="Arial" w:hAnsi="Arial" w:hint="eastAsia"/>
                <w:sz w:val="24"/>
              </w:rPr>
              <w:t>规</w:t>
            </w:r>
            <w:proofErr w:type="gramEnd"/>
            <w:r w:rsidRPr="0005090F">
              <w:rPr>
                <w:rFonts w:ascii="Arial" w:hAnsi="Arial" w:hint="eastAsia"/>
                <w:sz w:val="24"/>
              </w:rPr>
              <w:t>底线。</w:t>
            </w:r>
          </w:p>
          <w:p w:rsidR="0005090F" w:rsidRPr="0005090F" w:rsidRDefault="0005090F" w:rsidP="0005090F">
            <w:pPr>
              <w:widowControl/>
              <w:overflowPunct w:val="0"/>
              <w:spacing w:beforeLines="50" w:line="276" w:lineRule="auto"/>
              <w:ind w:firstLineChars="175" w:firstLine="420"/>
              <w:outlineLvl w:val="2"/>
              <w:rPr>
                <w:rFonts w:ascii="Arial" w:hAnsi="Arial"/>
                <w:sz w:val="24"/>
              </w:rPr>
            </w:pPr>
          </w:p>
          <w:p w:rsidR="0005090F" w:rsidRPr="0005090F" w:rsidRDefault="0005090F" w:rsidP="0005090F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05090F">
              <w:rPr>
                <w:rFonts w:ascii="times" w:hAnsi="times" w:hint="eastAsia"/>
                <w:b/>
                <w:sz w:val="24"/>
              </w:rPr>
              <w:t>贵行</w:t>
            </w:r>
            <w:r w:rsidRPr="0005090F">
              <w:rPr>
                <w:rFonts w:ascii="times" w:hAnsi="times"/>
                <w:b/>
                <w:sz w:val="24"/>
              </w:rPr>
              <w:t>2014</w:t>
            </w:r>
            <w:r w:rsidRPr="0005090F">
              <w:rPr>
                <w:rFonts w:ascii="times" w:hAnsi="times" w:hint="eastAsia"/>
                <w:b/>
                <w:sz w:val="24"/>
              </w:rPr>
              <w:t>年一季度新增不良贷款主要集中在哪些地区和哪些行业？</w:t>
            </w:r>
            <w:r w:rsidRPr="0005090F">
              <w:rPr>
                <w:rFonts w:ascii="times" w:hAnsi="times"/>
                <w:b/>
                <w:sz w:val="24"/>
              </w:rPr>
              <w:t xml:space="preserve"> </w:t>
            </w:r>
          </w:p>
          <w:p w:rsidR="0005090F" w:rsidRPr="0005090F" w:rsidRDefault="0005090F" w:rsidP="0005090F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Arial" w:eastAsia="宋体"/>
                <w:b/>
                <w:color w:val="FF0000"/>
                <w:szCs w:val="24"/>
              </w:rPr>
            </w:pPr>
            <w:r w:rsidRPr="0005090F">
              <w:rPr>
                <w:rFonts w:ascii="Arial" w:eastAsia="宋体"/>
                <w:color w:val="auto"/>
                <w:szCs w:val="24"/>
              </w:rPr>
              <w:t>2014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年一季度，我行新增不良贷款的区域主要集中在东区，表现出明显的区域性。我</w:t>
            </w:r>
            <w:proofErr w:type="gramStart"/>
            <w:r w:rsidRPr="0005090F">
              <w:rPr>
                <w:rFonts w:ascii="Arial" w:eastAsia="宋体" w:hint="eastAsia"/>
                <w:color w:val="auto"/>
                <w:szCs w:val="24"/>
              </w:rPr>
              <w:t>行其他</w:t>
            </w:r>
            <w:proofErr w:type="gramEnd"/>
            <w:r w:rsidRPr="0005090F">
              <w:rPr>
                <w:rFonts w:ascii="Arial" w:eastAsia="宋体" w:hint="eastAsia"/>
                <w:color w:val="auto"/>
                <w:szCs w:val="24"/>
              </w:rPr>
              <w:t>区域（南区、西区、北区）分行信贷资产质量依然保持相对稳定，整体风险尚处于可控的范围之内。</w:t>
            </w:r>
          </w:p>
          <w:p w:rsidR="0005090F" w:rsidRPr="0005090F" w:rsidRDefault="0005090F" w:rsidP="0005090F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Arial" w:eastAsia="宋体"/>
                <w:b/>
                <w:color w:val="auto"/>
                <w:szCs w:val="24"/>
              </w:rPr>
            </w:pPr>
            <w:r w:rsidRPr="0005090F">
              <w:rPr>
                <w:rFonts w:ascii="Arial" w:eastAsia="宋体"/>
                <w:color w:val="auto"/>
                <w:szCs w:val="24"/>
              </w:rPr>
              <w:t>2014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年一季度，新增不良主要集中在零售贷款、批发零售业和制造业。零售贷款方面，我行新增不良主要是信用卡、个人经营性贷款和</w:t>
            </w:r>
            <w:proofErr w:type="gramStart"/>
            <w:r w:rsidRPr="0005090F">
              <w:rPr>
                <w:rFonts w:ascii="Arial" w:eastAsia="宋体" w:hint="eastAsia"/>
                <w:color w:val="auto"/>
                <w:szCs w:val="24"/>
              </w:rPr>
              <w:t>新一贷等</w:t>
            </w:r>
            <w:proofErr w:type="gramEnd"/>
            <w:r w:rsidRPr="0005090F">
              <w:rPr>
                <w:rFonts w:ascii="Arial" w:eastAsia="宋体" w:hint="eastAsia"/>
                <w:color w:val="auto"/>
                <w:szCs w:val="24"/>
              </w:rPr>
              <w:t>业务品种，该类业务本身属高风险、高收益产品，目前风险和损失均在产品设计预期范围内。公司贷款方面，不良上升原因主要是受外部经济环境影响，部分民营企业因抗风险能力较弱，受行业不景气的冲击较大，造成借款人经营困难，难以偿还到期贷款。</w:t>
            </w:r>
          </w:p>
          <w:p w:rsidR="0005090F" w:rsidRDefault="0005090F" w:rsidP="0005090F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Arial" w:eastAsia="宋体" w:hint="eastAsia"/>
                <w:color w:val="auto"/>
                <w:szCs w:val="24"/>
              </w:rPr>
            </w:pPr>
            <w:r w:rsidRPr="0005090F">
              <w:rPr>
                <w:rFonts w:ascii="Arial" w:eastAsia="宋体" w:hint="eastAsia"/>
                <w:color w:val="auto"/>
                <w:szCs w:val="24"/>
              </w:rPr>
              <w:t>自去年以来，我行已通过一系列措施，进一步优化信贷结构，防范和化解存量贷款可能出现的各类风险，严控新增不良贷款，加大不良贷款处置力度，保持资产质量相对稳定。但面对当前复杂的经济金融形势，信贷经营的不确定性和困难加大，因此不排除未来不良贷款</w:t>
            </w:r>
            <w:r>
              <w:rPr>
                <w:rFonts w:ascii="Arial" w:eastAsia="宋体" w:hint="eastAsia"/>
                <w:color w:val="auto"/>
                <w:szCs w:val="24"/>
              </w:rPr>
              <w:t>依然面临压力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。</w:t>
            </w:r>
          </w:p>
          <w:p w:rsidR="0005090F" w:rsidRPr="0005090F" w:rsidRDefault="0005090F" w:rsidP="0005090F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Arial" w:eastAsia="宋体"/>
                <w:color w:val="auto"/>
                <w:szCs w:val="24"/>
              </w:rPr>
            </w:pPr>
          </w:p>
          <w:p w:rsidR="0005090F" w:rsidRPr="0005090F" w:rsidRDefault="0005090F" w:rsidP="0005090F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05090F">
              <w:rPr>
                <w:rFonts w:ascii="times" w:hAnsi="times" w:hint="eastAsia"/>
                <w:b/>
                <w:sz w:val="24"/>
              </w:rPr>
              <w:t>请介绍目前上海、杭州、宁波、温州地区资产质量变化情况？资产质量是否已经改善？</w:t>
            </w:r>
          </w:p>
          <w:p w:rsidR="0005090F" w:rsidRDefault="0005090F" w:rsidP="0005090F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Arial" w:eastAsia="宋体" w:hint="eastAsia"/>
                <w:color w:val="auto"/>
                <w:szCs w:val="24"/>
              </w:rPr>
            </w:pPr>
            <w:r w:rsidRPr="0005090F">
              <w:rPr>
                <w:rFonts w:ascii="Arial" w:eastAsia="宋体" w:hint="eastAsia"/>
                <w:color w:val="auto"/>
                <w:szCs w:val="24"/>
              </w:rPr>
              <w:t>2014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年一季度末，受国内经济增速放缓等外部环境影响，企业经营风险加大、资金链紧张，特别是上海</w:t>
            </w:r>
            <w:proofErr w:type="gramStart"/>
            <w:r w:rsidRPr="0005090F">
              <w:rPr>
                <w:rFonts w:ascii="Arial" w:eastAsia="宋体" w:hint="eastAsia"/>
                <w:color w:val="auto"/>
                <w:szCs w:val="24"/>
              </w:rPr>
              <w:t>地区钢贸企业</w:t>
            </w:r>
            <w:proofErr w:type="gramEnd"/>
            <w:r w:rsidRPr="0005090F">
              <w:rPr>
                <w:rFonts w:ascii="Arial" w:eastAsia="宋体" w:hint="eastAsia"/>
                <w:color w:val="auto"/>
                <w:szCs w:val="24"/>
              </w:rPr>
              <w:t>贷款风险的集中暴露，导致我</w:t>
            </w:r>
            <w:proofErr w:type="gramStart"/>
            <w:r w:rsidRPr="0005090F">
              <w:rPr>
                <w:rFonts w:ascii="Arial" w:eastAsia="宋体" w:hint="eastAsia"/>
                <w:color w:val="auto"/>
                <w:szCs w:val="24"/>
              </w:rPr>
              <w:t>行关注</w:t>
            </w:r>
            <w:proofErr w:type="gramEnd"/>
            <w:r w:rsidRPr="0005090F">
              <w:rPr>
                <w:rFonts w:ascii="Arial" w:eastAsia="宋体" w:hint="eastAsia"/>
                <w:color w:val="auto"/>
                <w:szCs w:val="24"/>
              </w:rPr>
              <w:t>类贷款持续上升，资产质量暂未出现明显改善。东区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4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家主要分行根据各自不良资产的特点，制定了具体的清收计划，目前进展情况良好。</w:t>
            </w:r>
          </w:p>
          <w:p w:rsidR="0005090F" w:rsidRPr="0005090F" w:rsidRDefault="0005090F" w:rsidP="0005090F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Arial" w:eastAsia="宋体"/>
                <w:color w:val="auto"/>
                <w:szCs w:val="24"/>
              </w:rPr>
            </w:pPr>
          </w:p>
          <w:p w:rsidR="0005090F" w:rsidRPr="0005090F" w:rsidRDefault="0005090F" w:rsidP="0005090F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05090F">
              <w:rPr>
                <w:rFonts w:ascii="times" w:hAnsi="times" w:hint="eastAsia"/>
                <w:b/>
                <w:sz w:val="24"/>
              </w:rPr>
              <w:t>贵行政府融资平台贷款目前情况？策略有无变化？新增平台贷款主要是哪些方面的？</w:t>
            </w:r>
          </w:p>
          <w:p w:rsidR="0005090F" w:rsidRPr="0005090F" w:rsidRDefault="0005090F" w:rsidP="0005090F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Arial" w:eastAsia="宋体"/>
                <w:b/>
                <w:color w:val="auto"/>
                <w:szCs w:val="24"/>
              </w:rPr>
            </w:pPr>
            <w:r w:rsidRPr="0005090F">
              <w:rPr>
                <w:rFonts w:ascii="Arial" w:eastAsia="宋体" w:hint="eastAsia"/>
                <w:color w:val="auto"/>
                <w:szCs w:val="24"/>
              </w:rPr>
              <w:t>我</w:t>
            </w:r>
            <w:proofErr w:type="gramStart"/>
            <w:r w:rsidRPr="0005090F">
              <w:rPr>
                <w:rFonts w:ascii="Arial" w:eastAsia="宋体" w:hint="eastAsia"/>
                <w:color w:val="auto"/>
                <w:szCs w:val="24"/>
              </w:rPr>
              <w:t>行严格</w:t>
            </w:r>
            <w:proofErr w:type="gramEnd"/>
            <w:r w:rsidRPr="0005090F">
              <w:rPr>
                <w:rFonts w:ascii="Arial" w:eastAsia="宋体" w:hint="eastAsia"/>
                <w:color w:val="auto"/>
                <w:szCs w:val="24"/>
              </w:rPr>
              <w:t>遵循“总量控制、分类管理、区别对待、逐步化解”的总体原则，以控制总量、优化结构、隔离风险为重点，持续推进地方政府融资平台贷款风险管控，管理策略与以往没有明显变化。截至</w:t>
            </w:r>
            <w:r w:rsidRPr="0005090F">
              <w:rPr>
                <w:rFonts w:ascii="Arial" w:eastAsia="宋体"/>
                <w:color w:val="auto"/>
                <w:szCs w:val="24"/>
              </w:rPr>
              <w:t>2014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年一季度末，我行平台贷款余额约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405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亿元，其中仍按平台管理的贷款余额</w:t>
            </w:r>
            <w:r w:rsidRPr="0005090F">
              <w:rPr>
                <w:rFonts w:ascii="Arial" w:eastAsia="宋体"/>
                <w:color w:val="auto"/>
                <w:szCs w:val="24"/>
              </w:rPr>
              <w:t>137.93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亿元，占各项贷款余额的比例为</w:t>
            </w:r>
            <w:r w:rsidRPr="0005090F">
              <w:rPr>
                <w:rFonts w:ascii="Arial" w:eastAsia="宋体"/>
                <w:color w:val="auto"/>
                <w:szCs w:val="24"/>
              </w:rPr>
              <w:t>1.55%</w:t>
            </w:r>
            <w:r w:rsidRPr="0005090F">
              <w:rPr>
                <w:rFonts w:ascii="Arial" w:eastAsia="宋体" w:hint="eastAsia"/>
                <w:color w:val="auto"/>
                <w:szCs w:val="24"/>
              </w:rPr>
              <w:t>，贷款总量仍控制在监管部门要求的范围内。目前我行平台贷款资产质量良好，风险控制有效。</w:t>
            </w:r>
          </w:p>
          <w:p w:rsidR="00217D1A" w:rsidRPr="0005090F" w:rsidRDefault="00217D1A" w:rsidP="00AB67BB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times" w:hAnsi="times" w:cs="宋体"/>
                <w:sz w:val="24"/>
                <w:lang w:val="zh-CN"/>
              </w:rPr>
            </w:pPr>
          </w:p>
          <w:p w:rsidR="00EE1C10" w:rsidRPr="0005090F" w:rsidRDefault="00A140B8" w:rsidP="00D87038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团体接待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217D1A" w:rsidP="00FF0263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FF0263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一季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度业绩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PPT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-</w:t>
            </w:r>
            <w:r w:rsidR="00D87038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05090F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05090F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05090F" w:rsidRDefault="00761259" w:rsidP="0005090F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497C7E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5</w:t>
            </w:r>
            <w:r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05090F" w:rsidRPr="0005090F">
              <w:rPr>
                <w:rFonts w:ascii="times" w:hAnsi="times" w:hint="eastAsia"/>
                <w:bCs/>
                <w:iCs/>
                <w:color w:val="000000"/>
                <w:sz w:val="24"/>
              </w:rPr>
              <w:t>15</w:t>
            </w:r>
          </w:p>
        </w:tc>
      </w:tr>
    </w:tbl>
    <w:p w:rsidR="00EE1C10" w:rsidRPr="0005090F" w:rsidRDefault="00EE1C10" w:rsidP="00EE1C10">
      <w:pPr>
        <w:jc w:val="center"/>
        <w:rPr>
          <w:rFonts w:ascii="times" w:hAnsi="times"/>
          <w:sz w:val="28"/>
          <w:szCs w:val="28"/>
        </w:rPr>
      </w:pPr>
    </w:p>
    <w:p w:rsidR="00941F1C" w:rsidRPr="0005090F" w:rsidRDefault="00941F1C">
      <w:pPr>
        <w:rPr>
          <w:rFonts w:ascii="times" w:hAnsi="times"/>
        </w:rPr>
      </w:pPr>
    </w:p>
    <w:sectPr w:rsidR="00941F1C" w:rsidRPr="0005090F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3F" w:rsidRDefault="007C213F" w:rsidP="00D96584">
      <w:r>
        <w:separator/>
      </w:r>
    </w:p>
  </w:endnote>
  <w:endnote w:type="continuationSeparator" w:id="0">
    <w:p w:rsidR="007C213F" w:rsidRDefault="007C213F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3F" w:rsidRDefault="007C213F" w:rsidP="00D96584">
      <w:r>
        <w:separator/>
      </w:r>
    </w:p>
  </w:footnote>
  <w:footnote w:type="continuationSeparator" w:id="0">
    <w:p w:rsidR="007C213F" w:rsidRDefault="007C213F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8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B3693"/>
    <w:rsid w:val="00101C48"/>
    <w:rsid w:val="00130F3C"/>
    <w:rsid w:val="0015535F"/>
    <w:rsid w:val="001B33AC"/>
    <w:rsid w:val="001B72DE"/>
    <w:rsid w:val="001C10A8"/>
    <w:rsid w:val="001D2529"/>
    <w:rsid w:val="001E2C63"/>
    <w:rsid w:val="00217D1A"/>
    <w:rsid w:val="003317E5"/>
    <w:rsid w:val="003B107D"/>
    <w:rsid w:val="003B721F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7C213F"/>
    <w:rsid w:val="008710F9"/>
    <w:rsid w:val="008A4E3E"/>
    <w:rsid w:val="00921892"/>
    <w:rsid w:val="00941F1C"/>
    <w:rsid w:val="00951547"/>
    <w:rsid w:val="009F13CD"/>
    <w:rsid w:val="00A140B8"/>
    <w:rsid w:val="00AB67BB"/>
    <w:rsid w:val="00B31C4E"/>
    <w:rsid w:val="00B84A84"/>
    <w:rsid w:val="00BB741D"/>
    <w:rsid w:val="00BE11BC"/>
    <w:rsid w:val="00C12E89"/>
    <w:rsid w:val="00C35BCB"/>
    <w:rsid w:val="00C51768"/>
    <w:rsid w:val="00C81677"/>
    <w:rsid w:val="00CB4AC9"/>
    <w:rsid w:val="00D87038"/>
    <w:rsid w:val="00D96584"/>
    <w:rsid w:val="00E733AB"/>
    <w:rsid w:val="00EE1C10"/>
    <w:rsid w:val="00EE4F68"/>
    <w:rsid w:val="00EE7C01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1480</Characters>
  <Application>Microsoft Office Word</Application>
  <DocSecurity>0</DocSecurity>
  <Lines>12</Lines>
  <Paragraphs>3</Paragraphs>
  <ScaleCrop>false</ScaleCrop>
  <Company>sdb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2014-06-23T12:59:00Z</dcterms:created>
  <dcterms:modified xsi:type="dcterms:W3CDTF">2014-06-23T13:04:00Z</dcterms:modified>
</cp:coreProperties>
</file>