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80" w:rsidRDefault="00E25A80" w:rsidP="00E25A80">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证券代码：002375                        证券简称：亚厦股份</w:t>
      </w:r>
    </w:p>
    <w:p w:rsidR="00E25A80" w:rsidRDefault="00E25A80" w:rsidP="00E25A80">
      <w:pPr>
        <w:tabs>
          <w:tab w:val="left" w:pos="3360"/>
        </w:tabs>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浙江亚厦装饰股份有限公司投资者关系活动记录表</w:t>
      </w:r>
    </w:p>
    <w:p w:rsidR="00E25A80" w:rsidRDefault="00E25A80" w:rsidP="00E25A80">
      <w:pPr>
        <w:spacing w:line="400" w:lineRule="exact"/>
        <w:rPr>
          <w:rFonts w:ascii="宋体" w:hAnsi="宋体"/>
          <w:bCs/>
          <w:iCs/>
          <w:sz w:val="24"/>
        </w:rPr>
      </w:pPr>
      <w:r>
        <w:rPr>
          <w:rFonts w:ascii="宋体" w:hAnsi="宋体" w:hint="eastAsia"/>
          <w:bCs/>
          <w:iCs/>
          <w:color w:val="000000"/>
          <w:sz w:val="24"/>
        </w:rPr>
        <w:t xml:space="preserve">                                                   </w:t>
      </w:r>
      <w:r>
        <w:rPr>
          <w:rFonts w:ascii="宋体" w:hAnsi="宋体" w:hint="eastAsia"/>
          <w:bCs/>
          <w:iCs/>
          <w:sz w:val="24"/>
        </w:rPr>
        <w:t xml:space="preserve">   编号：2014-11</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6581"/>
      </w:tblGrid>
      <w:tr w:rsidR="00E25A80" w:rsidTr="00DE1496">
        <w:trPr>
          <w:trHeight w:val="1558"/>
        </w:trPr>
        <w:tc>
          <w:tcPr>
            <w:tcW w:w="1899" w:type="dxa"/>
          </w:tcPr>
          <w:p w:rsidR="00E25A80" w:rsidRDefault="00E25A80" w:rsidP="00DE1496">
            <w:pPr>
              <w:spacing w:line="480" w:lineRule="atLeast"/>
              <w:jc w:val="center"/>
              <w:rPr>
                <w:rFonts w:ascii="宋体" w:hAnsi="宋体"/>
                <w:b/>
                <w:bCs/>
                <w:iCs/>
                <w:color w:val="000000"/>
                <w:sz w:val="24"/>
              </w:rPr>
            </w:pPr>
            <w:r>
              <w:rPr>
                <w:rFonts w:ascii="宋体" w:hAnsi="宋体" w:hint="eastAsia"/>
                <w:b/>
                <w:bCs/>
                <w:iCs/>
                <w:color w:val="000000"/>
                <w:sz w:val="24"/>
              </w:rPr>
              <w:t>投资者关系活动类别</w:t>
            </w:r>
          </w:p>
          <w:p w:rsidR="00E25A80" w:rsidRDefault="00E25A80" w:rsidP="00DE1496">
            <w:pPr>
              <w:spacing w:line="480" w:lineRule="atLeast"/>
              <w:rPr>
                <w:rFonts w:ascii="宋体" w:hAnsi="宋体"/>
                <w:b/>
                <w:bCs/>
                <w:iCs/>
                <w:color w:val="000000"/>
                <w:sz w:val="24"/>
              </w:rPr>
            </w:pPr>
          </w:p>
        </w:tc>
        <w:tc>
          <w:tcPr>
            <w:tcW w:w="6581" w:type="dxa"/>
          </w:tcPr>
          <w:p w:rsidR="00E25A80" w:rsidRDefault="00E25A80" w:rsidP="00DE1496">
            <w:pPr>
              <w:rPr>
                <w:rFonts w:ascii="宋体" w:hAnsi="宋体"/>
                <w:bCs/>
                <w:iCs/>
                <w:color w:val="000000"/>
                <w:sz w:val="24"/>
              </w:rPr>
            </w:pPr>
            <w:r>
              <w:rPr>
                <w:rFonts w:ascii="宋体" w:hAnsi="宋体" w:hint="eastAsia"/>
                <w:bCs/>
                <w:iCs/>
                <w:color w:val="000000"/>
                <w:sz w:val="24"/>
              </w:rPr>
              <w:t>√特定对象调研        □分析师会议</w:t>
            </w:r>
          </w:p>
          <w:p w:rsidR="00E25A80" w:rsidRDefault="00E25A80" w:rsidP="00DE1496">
            <w:pPr>
              <w:rPr>
                <w:rFonts w:ascii="宋体" w:hAnsi="宋体"/>
                <w:bCs/>
                <w:iCs/>
                <w:color w:val="000000"/>
                <w:sz w:val="24"/>
              </w:rPr>
            </w:pPr>
            <w:r>
              <w:rPr>
                <w:rFonts w:ascii="宋体" w:hAnsi="宋体" w:hint="eastAsia"/>
                <w:bCs/>
                <w:iCs/>
                <w:color w:val="000000"/>
                <w:sz w:val="24"/>
              </w:rPr>
              <w:t>□媒体采访            □业绩说明会</w:t>
            </w:r>
          </w:p>
          <w:p w:rsidR="00E25A80" w:rsidRDefault="00E25A80" w:rsidP="00DE1496">
            <w:pPr>
              <w:rPr>
                <w:rFonts w:ascii="宋体" w:hAnsi="宋体"/>
                <w:bCs/>
                <w:iCs/>
                <w:color w:val="000000"/>
                <w:sz w:val="24"/>
              </w:rPr>
            </w:pPr>
            <w:r>
              <w:rPr>
                <w:rFonts w:ascii="宋体" w:hAnsi="宋体" w:hint="eastAsia"/>
                <w:bCs/>
                <w:iCs/>
                <w:color w:val="000000"/>
                <w:sz w:val="24"/>
              </w:rPr>
              <w:t>□新闻发布会          □路演活动</w:t>
            </w:r>
          </w:p>
          <w:p w:rsidR="00E25A80" w:rsidRDefault="00E25A80" w:rsidP="00DE1496">
            <w:pPr>
              <w:rPr>
                <w:rFonts w:ascii="宋体" w:hAnsi="宋体"/>
                <w:bCs/>
                <w:iCs/>
                <w:color w:val="000000"/>
                <w:sz w:val="24"/>
              </w:rPr>
            </w:pPr>
            <w:r>
              <w:rPr>
                <w:rFonts w:ascii="宋体" w:hAnsi="宋体" w:hint="eastAsia"/>
                <w:bCs/>
                <w:iCs/>
                <w:color w:val="000000"/>
                <w:sz w:val="24"/>
              </w:rPr>
              <w:t>□现场参观</w:t>
            </w:r>
            <w:r>
              <w:rPr>
                <w:rFonts w:ascii="宋体" w:hAnsi="宋体"/>
                <w:bCs/>
                <w:iCs/>
                <w:color w:val="000000"/>
                <w:sz w:val="24"/>
              </w:rPr>
              <w:tab/>
            </w:r>
          </w:p>
          <w:p w:rsidR="00E25A80" w:rsidRDefault="00E25A80" w:rsidP="00DE1496">
            <w:pPr>
              <w:rPr>
                <w:rFonts w:ascii="宋体" w:hAnsi="宋体"/>
                <w:bCs/>
                <w:iCs/>
                <w:color w:val="000000"/>
                <w:sz w:val="24"/>
              </w:rPr>
            </w:pPr>
            <w:r>
              <w:rPr>
                <w:rFonts w:ascii="宋体" w:hAnsi="宋体" w:hint="eastAsia"/>
                <w:bCs/>
                <w:iCs/>
                <w:color w:val="000000"/>
                <w:sz w:val="24"/>
              </w:rPr>
              <w:t>□其他 （请文字说明其他活动内容）</w:t>
            </w:r>
          </w:p>
        </w:tc>
      </w:tr>
      <w:tr w:rsidR="00E25A80" w:rsidTr="00E25A80">
        <w:trPr>
          <w:trHeight w:val="1000"/>
        </w:trPr>
        <w:tc>
          <w:tcPr>
            <w:tcW w:w="1899" w:type="dxa"/>
          </w:tcPr>
          <w:p w:rsidR="00E25A80" w:rsidRDefault="00E25A80" w:rsidP="00DE1496">
            <w:pPr>
              <w:spacing w:line="480" w:lineRule="atLeast"/>
              <w:jc w:val="center"/>
              <w:rPr>
                <w:rFonts w:ascii="宋体" w:hAnsi="宋体"/>
                <w:b/>
                <w:bCs/>
                <w:iCs/>
                <w:color w:val="000000"/>
                <w:sz w:val="24"/>
              </w:rPr>
            </w:pPr>
            <w:r>
              <w:rPr>
                <w:rFonts w:ascii="宋体" w:hAnsi="宋体" w:hint="eastAsia"/>
                <w:b/>
                <w:bCs/>
                <w:iCs/>
                <w:color w:val="000000"/>
                <w:sz w:val="24"/>
              </w:rPr>
              <w:t>参与单位名称及人员姓名</w:t>
            </w:r>
          </w:p>
        </w:tc>
        <w:tc>
          <w:tcPr>
            <w:tcW w:w="6581" w:type="dxa"/>
            <w:vAlign w:val="center"/>
          </w:tcPr>
          <w:p w:rsidR="00E25A80" w:rsidRDefault="00E11F83" w:rsidP="00E25A80">
            <w:pPr>
              <w:rPr>
                <w:rFonts w:ascii="宋体" w:hAnsi="宋体"/>
                <w:bCs/>
                <w:iCs/>
                <w:sz w:val="24"/>
              </w:rPr>
            </w:pPr>
            <w:r>
              <w:rPr>
                <w:rFonts w:ascii="宋体" w:hAnsi="宋体" w:hint="eastAsia"/>
                <w:bCs/>
                <w:iCs/>
                <w:sz w:val="24"/>
              </w:rPr>
              <w:t>景林投资 李署</w:t>
            </w:r>
          </w:p>
          <w:p w:rsidR="00E11F83" w:rsidRDefault="00E11F83" w:rsidP="00E25A80">
            <w:pPr>
              <w:rPr>
                <w:rFonts w:ascii="宋体" w:hAnsi="宋体"/>
                <w:bCs/>
                <w:iCs/>
                <w:sz w:val="24"/>
              </w:rPr>
            </w:pPr>
            <w:r>
              <w:rPr>
                <w:rFonts w:ascii="宋体" w:hAnsi="宋体" w:hint="eastAsia"/>
                <w:bCs/>
                <w:iCs/>
                <w:sz w:val="24"/>
              </w:rPr>
              <w:t>东方证券 李威</w:t>
            </w:r>
          </w:p>
          <w:p w:rsidR="00E11F83" w:rsidRDefault="00E11F83" w:rsidP="00E25A80">
            <w:pPr>
              <w:rPr>
                <w:rFonts w:ascii="宋体" w:hAnsi="宋体"/>
                <w:bCs/>
                <w:iCs/>
                <w:sz w:val="24"/>
              </w:rPr>
            </w:pPr>
            <w:r>
              <w:rPr>
                <w:rFonts w:ascii="宋体" w:hAnsi="宋体" w:hint="eastAsia"/>
                <w:bCs/>
                <w:iCs/>
                <w:sz w:val="24"/>
              </w:rPr>
              <w:t>华宝兴业 彭耀民</w:t>
            </w:r>
          </w:p>
          <w:p w:rsidR="00E11F83" w:rsidRDefault="00E11F83" w:rsidP="00E25A80">
            <w:pPr>
              <w:rPr>
                <w:rFonts w:ascii="宋体" w:hAnsi="宋体"/>
                <w:bCs/>
                <w:iCs/>
                <w:sz w:val="24"/>
              </w:rPr>
            </w:pPr>
            <w:r>
              <w:rPr>
                <w:rFonts w:ascii="宋体" w:hAnsi="宋体" w:hint="eastAsia"/>
                <w:bCs/>
                <w:iCs/>
                <w:sz w:val="24"/>
              </w:rPr>
              <w:t>华泰柏瑞 韩笑</w:t>
            </w:r>
          </w:p>
          <w:p w:rsidR="00E11F83" w:rsidRDefault="00E11F83" w:rsidP="00E25A80">
            <w:pPr>
              <w:rPr>
                <w:rFonts w:ascii="宋体" w:hAnsi="宋体"/>
                <w:bCs/>
                <w:iCs/>
                <w:sz w:val="24"/>
              </w:rPr>
            </w:pPr>
            <w:r>
              <w:rPr>
                <w:rFonts w:ascii="宋体" w:hAnsi="宋体" w:hint="eastAsia"/>
                <w:bCs/>
                <w:iCs/>
                <w:sz w:val="24"/>
              </w:rPr>
              <w:t>华商基金 孙钊</w:t>
            </w:r>
          </w:p>
          <w:p w:rsidR="00E11F83" w:rsidRDefault="00E11F83" w:rsidP="00E25A80">
            <w:pPr>
              <w:rPr>
                <w:rFonts w:ascii="宋体" w:hAnsi="宋体"/>
                <w:bCs/>
                <w:iCs/>
                <w:sz w:val="24"/>
              </w:rPr>
            </w:pPr>
            <w:r>
              <w:rPr>
                <w:rFonts w:ascii="宋体" w:hAnsi="宋体" w:hint="eastAsia"/>
                <w:bCs/>
                <w:iCs/>
                <w:sz w:val="24"/>
              </w:rPr>
              <w:t>汇添富基金 赵宇烨</w:t>
            </w:r>
          </w:p>
          <w:p w:rsidR="00E11F83" w:rsidRDefault="00E11F83" w:rsidP="00E25A80">
            <w:pPr>
              <w:rPr>
                <w:rFonts w:ascii="宋体" w:hAnsi="宋体"/>
                <w:bCs/>
                <w:iCs/>
                <w:sz w:val="24"/>
              </w:rPr>
            </w:pPr>
            <w:r>
              <w:rPr>
                <w:rFonts w:ascii="宋体" w:hAnsi="宋体" w:hint="eastAsia"/>
                <w:bCs/>
                <w:iCs/>
                <w:sz w:val="24"/>
              </w:rPr>
              <w:t>海富通基金 王挺</w:t>
            </w:r>
          </w:p>
          <w:p w:rsidR="00E11F83" w:rsidRDefault="00E11F83" w:rsidP="00E25A80">
            <w:pPr>
              <w:rPr>
                <w:rFonts w:ascii="宋体" w:hAnsi="宋体"/>
                <w:bCs/>
                <w:iCs/>
                <w:sz w:val="24"/>
              </w:rPr>
            </w:pPr>
            <w:r>
              <w:rPr>
                <w:rFonts w:ascii="宋体" w:hAnsi="宋体" w:hint="eastAsia"/>
                <w:bCs/>
                <w:iCs/>
                <w:sz w:val="24"/>
              </w:rPr>
              <w:t>银河基金 王翊</w:t>
            </w:r>
          </w:p>
          <w:p w:rsidR="00E11F83" w:rsidRDefault="00E11F83" w:rsidP="00E25A80">
            <w:pPr>
              <w:rPr>
                <w:rFonts w:ascii="宋体" w:hAnsi="宋体"/>
                <w:bCs/>
                <w:iCs/>
                <w:sz w:val="24"/>
              </w:rPr>
            </w:pPr>
            <w:r>
              <w:rPr>
                <w:rFonts w:ascii="宋体" w:hAnsi="宋体" w:hint="eastAsia"/>
                <w:bCs/>
                <w:iCs/>
                <w:sz w:val="24"/>
              </w:rPr>
              <w:t>华安基金 张嘉辉、钱坤、张峦</w:t>
            </w:r>
          </w:p>
          <w:p w:rsidR="00E11F83" w:rsidRDefault="00E11F83" w:rsidP="00E25A80">
            <w:pPr>
              <w:rPr>
                <w:rFonts w:ascii="宋体" w:hAnsi="宋体"/>
                <w:bCs/>
                <w:iCs/>
                <w:sz w:val="24"/>
              </w:rPr>
            </w:pPr>
            <w:r>
              <w:rPr>
                <w:rFonts w:ascii="宋体" w:hAnsi="宋体" w:hint="eastAsia"/>
                <w:bCs/>
                <w:iCs/>
                <w:sz w:val="24"/>
              </w:rPr>
              <w:t>上投摩根 朱晓龙</w:t>
            </w:r>
          </w:p>
          <w:p w:rsidR="00E11F83" w:rsidRDefault="00E11F83" w:rsidP="00E25A80">
            <w:pPr>
              <w:rPr>
                <w:rFonts w:ascii="宋体" w:hAnsi="宋体"/>
                <w:bCs/>
                <w:iCs/>
                <w:sz w:val="24"/>
              </w:rPr>
            </w:pPr>
            <w:r>
              <w:rPr>
                <w:rFonts w:ascii="宋体" w:hAnsi="宋体" w:hint="eastAsia"/>
                <w:bCs/>
                <w:iCs/>
                <w:sz w:val="24"/>
              </w:rPr>
              <w:t>中海基金 封晴</w:t>
            </w:r>
          </w:p>
          <w:p w:rsidR="00E11F83" w:rsidRDefault="00E11F83" w:rsidP="00E25A80">
            <w:pPr>
              <w:rPr>
                <w:rFonts w:ascii="宋体" w:hAnsi="宋体"/>
                <w:bCs/>
                <w:iCs/>
                <w:sz w:val="24"/>
              </w:rPr>
            </w:pPr>
            <w:r>
              <w:rPr>
                <w:rFonts w:ascii="宋体" w:hAnsi="宋体" w:hint="eastAsia"/>
                <w:bCs/>
                <w:iCs/>
                <w:sz w:val="24"/>
              </w:rPr>
              <w:t>招商基金 马柯</w:t>
            </w:r>
          </w:p>
          <w:p w:rsidR="00E11F83" w:rsidRDefault="00E11F83" w:rsidP="00E25A80">
            <w:pPr>
              <w:rPr>
                <w:rFonts w:ascii="宋体" w:hAnsi="宋体"/>
                <w:bCs/>
                <w:iCs/>
                <w:sz w:val="24"/>
              </w:rPr>
            </w:pPr>
            <w:r>
              <w:rPr>
                <w:rFonts w:ascii="宋体" w:hAnsi="宋体" w:hint="eastAsia"/>
                <w:bCs/>
                <w:iCs/>
                <w:sz w:val="24"/>
              </w:rPr>
              <w:t>美浓投资 何赛娜、傅姗姗</w:t>
            </w:r>
          </w:p>
          <w:p w:rsidR="00E11F83" w:rsidRDefault="00E11F83" w:rsidP="00E25A80">
            <w:pPr>
              <w:rPr>
                <w:rFonts w:ascii="宋体" w:hAnsi="宋体"/>
                <w:bCs/>
                <w:iCs/>
                <w:sz w:val="24"/>
              </w:rPr>
            </w:pPr>
            <w:r>
              <w:rPr>
                <w:rFonts w:ascii="宋体" w:hAnsi="宋体" w:hint="eastAsia"/>
                <w:bCs/>
                <w:iCs/>
                <w:sz w:val="24"/>
              </w:rPr>
              <w:t>天健天晴投资 赵慧新</w:t>
            </w:r>
          </w:p>
          <w:p w:rsidR="00E11F83" w:rsidRDefault="00E11F83" w:rsidP="00E25A80">
            <w:pPr>
              <w:rPr>
                <w:rFonts w:ascii="宋体" w:hAnsi="宋体"/>
                <w:bCs/>
                <w:iCs/>
                <w:sz w:val="24"/>
              </w:rPr>
            </w:pPr>
            <w:r>
              <w:rPr>
                <w:rFonts w:ascii="宋体" w:hAnsi="宋体" w:hint="eastAsia"/>
                <w:bCs/>
                <w:iCs/>
                <w:sz w:val="24"/>
              </w:rPr>
              <w:t>伟亚投资 王亚卫</w:t>
            </w:r>
          </w:p>
          <w:p w:rsidR="00E11F83" w:rsidRDefault="00E11F83" w:rsidP="00E25A80">
            <w:pPr>
              <w:rPr>
                <w:rFonts w:ascii="宋体" w:hAnsi="宋体"/>
                <w:bCs/>
                <w:iCs/>
                <w:sz w:val="24"/>
              </w:rPr>
            </w:pPr>
            <w:r>
              <w:rPr>
                <w:rFonts w:ascii="宋体" w:hAnsi="宋体" w:hint="eastAsia"/>
                <w:bCs/>
                <w:iCs/>
                <w:sz w:val="24"/>
              </w:rPr>
              <w:t>Libra投资 郭颖</w:t>
            </w:r>
          </w:p>
          <w:p w:rsidR="00E11F83" w:rsidRDefault="00E11F83" w:rsidP="00E25A80">
            <w:pPr>
              <w:rPr>
                <w:rFonts w:ascii="宋体" w:hAnsi="宋体"/>
                <w:bCs/>
                <w:iCs/>
                <w:sz w:val="24"/>
              </w:rPr>
            </w:pPr>
            <w:r>
              <w:rPr>
                <w:rFonts w:ascii="宋体" w:hAnsi="宋体" w:hint="eastAsia"/>
                <w:bCs/>
                <w:iCs/>
                <w:sz w:val="24"/>
              </w:rPr>
              <w:t>兴业全球 李跃</w:t>
            </w:r>
          </w:p>
          <w:p w:rsidR="00E11F83" w:rsidRDefault="00E11F83" w:rsidP="00E25A80">
            <w:pPr>
              <w:rPr>
                <w:rFonts w:ascii="宋体" w:hAnsi="宋体"/>
                <w:bCs/>
                <w:iCs/>
                <w:sz w:val="24"/>
              </w:rPr>
            </w:pPr>
            <w:r>
              <w:rPr>
                <w:rFonts w:ascii="宋体" w:hAnsi="宋体" w:hint="eastAsia"/>
                <w:bCs/>
                <w:iCs/>
                <w:sz w:val="24"/>
              </w:rPr>
              <w:t>鹏华基金 伍旋、刘苏</w:t>
            </w:r>
          </w:p>
          <w:p w:rsidR="00E11F83" w:rsidRDefault="00E11F83" w:rsidP="00E25A80">
            <w:pPr>
              <w:rPr>
                <w:rFonts w:ascii="宋体" w:hAnsi="宋体"/>
                <w:bCs/>
                <w:iCs/>
                <w:sz w:val="24"/>
              </w:rPr>
            </w:pPr>
            <w:r>
              <w:rPr>
                <w:rFonts w:ascii="宋体" w:hAnsi="宋体" w:hint="eastAsia"/>
                <w:bCs/>
                <w:iCs/>
                <w:sz w:val="24"/>
              </w:rPr>
              <w:t>平安资管 程亮</w:t>
            </w:r>
          </w:p>
          <w:p w:rsidR="00E11F83" w:rsidRDefault="00E11F83" w:rsidP="00E25A80">
            <w:pPr>
              <w:rPr>
                <w:rFonts w:ascii="宋体" w:hAnsi="宋体"/>
                <w:bCs/>
                <w:iCs/>
                <w:sz w:val="24"/>
              </w:rPr>
            </w:pPr>
            <w:r>
              <w:rPr>
                <w:rFonts w:ascii="宋体" w:hAnsi="宋体" w:hint="eastAsia"/>
                <w:bCs/>
                <w:iCs/>
                <w:sz w:val="24"/>
              </w:rPr>
              <w:t>交银施罗德 张迎军</w:t>
            </w:r>
          </w:p>
          <w:p w:rsidR="00851C36" w:rsidRDefault="00851C36" w:rsidP="00E25A80">
            <w:pPr>
              <w:rPr>
                <w:rFonts w:ascii="宋体" w:hAnsi="宋体"/>
                <w:bCs/>
                <w:iCs/>
                <w:sz w:val="24"/>
              </w:rPr>
            </w:pPr>
            <w:r>
              <w:rPr>
                <w:rFonts w:ascii="宋体" w:hAnsi="宋体" w:hint="eastAsia"/>
                <w:bCs/>
                <w:iCs/>
                <w:sz w:val="24"/>
              </w:rPr>
              <w:t>泊通投资 徐斌</w:t>
            </w:r>
          </w:p>
          <w:p w:rsidR="00851C36" w:rsidRDefault="00851C36" w:rsidP="00E25A80">
            <w:pPr>
              <w:rPr>
                <w:rFonts w:ascii="宋体" w:hAnsi="宋体"/>
                <w:bCs/>
                <w:iCs/>
                <w:sz w:val="24"/>
              </w:rPr>
            </w:pPr>
            <w:r>
              <w:rPr>
                <w:rFonts w:ascii="宋体" w:hAnsi="宋体" w:hint="eastAsia"/>
                <w:bCs/>
                <w:iCs/>
                <w:sz w:val="24"/>
              </w:rPr>
              <w:t>璞盈投资 高莉</w:t>
            </w:r>
          </w:p>
          <w:p w:rsidR="00851C36" w:rsidRDefault="00851C36" w:rsidP="00E25A80">
            <w:pPr>
              <w:rPr>
                <w:rFonts w:ascii="宋体" w:hAnsi="宋体"/>
                <w:bCs/>
                <w:iCs/>
                <w:sz w:val="24"/>
              </w:rPr>
            </w:pPr>
            <w:r>
              <w:rPr>
                <w:rFonts w:ascii="宋体" w:hAnsi="宋体" w:hint="eastAsia"/>
                <w:bCs/>
                <w:iCs/>
                <w:sz w:val="24"/>
              </w:rPr>
              <w:t>敦和资管 吴来迪</w:t>
            </w:r>
          </w:p>
          <w:p w:rsidR="00851C36" w:rsidRDefault="00851C36" w:rsidP="00E25A80">
            <w:pPr>
              <w:rPr>
                <w:rFonts w:ascii="宋体" w:hAnsi="宋体"/>
                <w:bCs/>
                <w:iCs/>
                <w:sz w:val="24"/>
              </w:rPr>
            </w:pPr>
            <w:r>
              <w:rPr>
                <w:rFonts w:ascii="宋体" w:hAnsi="宋体" w:hint="eastAsia"/>
                <w:bCs/>
                <w:iCs/>
                <w:sz w:val="24"/>
              </w:rPr>
              <w:t>白鹭投资 张艳军</w:t>
            </w:r>
          </w:p>
          <w:p w:rsidR="00E11F83" w:rsidRDefault="00E11F83" w:rsidP="00E25A80">
            <w:pPr>
              <w:rPr>
                <w:rFonts w:ascii="宋体" w:hAnsi="宋体"/>
                <w:bCs/>
                <w:iCs/>
                <w:sz w:val="24"/>
              </w:rPr>
            </w:pPr>
            <w:r>
              <w:rPr>
                <w:rFonts w:ascii="宋体" w:hAnsi="宋体" w:hint="eastAsia"/>
                <w:bCs/>
                <w:iCs/>
                <w:sz w:val="24"/>
              </w:rPr>
              <w:t>安信证券 杨涛、夏天</w:t>
            </w:r>
          </w:p>
          <w:p w:rsidR="00E11F83" w:rsidRDefault="00E11F83" w:rsidP="00E25A80">
            <w:pPr>
              <w:rPr>
                <w:rFonts w:ascii="宋体" w:hAnsi="宋体"/>
                <w:bCs/>
                <w:iCs/>
                <w:sz w:val="24"/>
              </w:rPr>
            </w:pPr>
            <w:r>
              <w:rPr>
                <w:rFonts w:ascii="宋体" w:hAnsi="宋体" w:hint="eastAsia"/>
                <w:bCs/>
                <w:iCs/>
                <w:sz w:val="24"/>
              </w:rPr>
              <w:t>申银万国 陆玲玲</w:t>
            </w:r>
          </w:p>
          <w:p w:rsidR="00E11F83" w:rsidRDefault="00E11F83" w:rsidP="00E25A80">
            <w:pPr>
              <w:rPr>
                <w:rFonts w:ascii="宋体" w:hAnsi="宋体"/>
                <w:bCs/>
                <w:iCs/>
                <w:sz w:val="24"/>
              </w:rPr>
            </w:pPr>
            <w:r>
              <w:rPr>
                <w:rFonts w:ascii="宋体" w:hAnsi="宋体" w:hint="eastAsia"/>
                <w:bCs/>
                <w:iCs/>
                <w:sz w:val="24"/>
              </w:rPr>
              <w:t>海通证券 赵健、张显宁</w:t>
            </w:r>
          </w:p>
          <w:p w:rsidR="00E11F83" w:rsidRDefault="00E11F83" w:rsidP="00E25A80">
            <w:pPr>
              <w:rPr>
                <w:rFonts w:ascii="宋体" w:hAnsi="宋体"/>
                <w:bCs/>
                <w:iCs/>
                <w:sz w:val="24"/>
              </w:rPr>
            </w:pPr>
            <w:r>
              <w:rPr>
                <w:rFonts w:ascii="宋体" w:hAnsi="宋体" w:hint="eastAsia"/>
                <w:bCs/>
                <w:iCs/>
                <w:sz w:val="24"/>
              </w:rPr>
              <w:t>招商证券 戴计辉</w:t>
            </w:r>
          </w:p>
          <w:p w:rsidR="00E11F83" w:rsidRDefault="00E11F83" w:rsidP="00E25A80">
            <w:pPr>
              <w:rPr>
                <w:rFonts w:ascii="宋体" w:hAnsi="宋体"/>
                <w:bCs/>
                <w:iCs/>
                <w:sz w:val="24"/>
              </w:rPr>
            </w:pPr>
            <w:r>
              <w:rPr>
                <w:rFonts w:ascii="宋体" w:hAnsi="宋体" w:hint="eastAsia"/>
                <w:bCs/>
                <w:iCs/>
                <w:sz w:val="24"/>
              </w:rPr>
              <w:t>兴业证券 孟杰</w:t>
            </w:r>
          </w:p>
          <w:p w:rsidR="00E11F83" w:rsidRDefault="00E11F83" w:rsidP="00E25A80">
            <w:pPr>
              <w:rPr>
                <w:rFonts w:ascii="宋体" w:hAnsi="宋体"/>
                <w:bCs/>
                <w:iCs/>
                <w:sz w:val="24"/>
              </w:rPr>
            </w:pPr>
            <w:r>
              <w:rPr>
                <w:rFonts w:ascii="宋体" w:hAnsi="宋体" w:hint="eastAsia"/>
                <w:bCs/>
                <w:iCs/>
                <w:sz w:val="24"/>
              </w:rPr>
              <w:t>中金公司 廖明兵</w:t>
            </w:r>
          </w:p>
          <w:p w:rsidR="00E11F83" w:rsidRDefault="00E11F83" w:rsidP="00E25A80">
            <w:pPr>
              <w:rPr>
                <w:rFonts w:ascii="宋体" w:hAnsi="宋体"/>
                <w:bCs/>
                <w:iCs/>
                <w:sz w:val="24"/>
              </w:rPr>
            </w:pPr>
            <w:r>
              <w:rPr>
                <w:rFonts w:ascii="宋体" w:hAnsi="宋体" w:hint="eastAsia"/>
                <w:bCs/>
                <w:iCs/>
                <w:sz w:val="24"/>
              </w:rPr>
              <w:t>银河证券 周松</w:t>
            </w:r>
          </w:p>
          <w:p w:rsidR="00E11F83" w:rsidRDefault="00E11F83" w:rsidP="00E25A80">
            <w:pPr>
              <w:rPr>
                <w:rFonts w:ascii="宋体" w:hAnsi="宋体"/>
                <w:bCs/>
                <w:iCs/>
                <w:sz w:val="24"/>
              </w:rPr>
            </w:pPr>
            <w:r>
              <w:rPr>
                <w:rFonts w:ascii="宋体" w:hAnsi="宋体" w:hint="eastAsia"/>
                <w:bCs/>
                <w:iCs/>
                <w:sz w:val="24"/>
              </w:rPr>
              <w:t>国金证券 刘晨辰</w:t>
            </w:r>
          </w:p>
          <w:p w:rsidR="00E11F83" w:rsidRDefault="00E11F83" w:rsidP="00E25A80">
            <w:pPr>
              <w:rPr>
                <w:rFonts w:ascii="宋体" w:hAnsi="宋体"/>
                <w:bCs/>
                <w:iCs/>
                <w:sz w:val="24"/>
              </w:rPr>
            </w:pPr>
            <w:r>
              <w:rPr>
                <w:rFonts w:ascii="宋体" w:hAnsi="宋体" w:hint="eastAsia"/>
                <w:bCs/>
                <w:iCs/>
                <w:sz w:val="24"/>
              </w:rPr>
              <w:t>广发证券 岳恒宇</w:t>
            </w:r>
          </w:p>
          <w:p w:rsidR="00E11F83" w:rsidRDefault="00E11F83" w:rsidP="00E25A80">
            <w:pPr>
              <w:rPr>
                <w:rFonts w:ascii="宋体" w:hAnsi="宋体"/>
                <w:bCs/>
                <w:iCs/>
                <w:sz w:val="24"/>
              </w:rPr>
            </w:pPr>
            <w:r>
              <w:rPr>
                <w:rFonts w:ascii="宋体" w:hAnsi="宋体" w:hint="eastAsia"/>
                <w:bCs/>
                <w:iCs/>
                <w:sz w:val="24"/>
              </w:rPr>
              <w:t>国泰君安 张琨</w:t>
            </w:r>
          </w:p>
          <w:p w:rsidR="00E11F83" w:rsidRPr="00E11F83" w:rsidRDefault="00E11F83" w:rsidP="00E25A80">
            <w:pPr>
              <w:rPr>
                <w:rFonts w:ascii="宋体" w:hAnsi="宋体"/>
                <w:bCs/>
                <w:iCs/>
                <w:sz w:val="24"/>
              </w:rPr>
            </w:pPr>
            <w:r>
              <w:rPr>
                <w:rFonts w:ascii="宋体" w:hAnsi="宋体" w:hint="eastAsia"/>
                <w:bCs/>
                <w:iCs/>
                <w:sz w:val="24"/>
              </w:rPr>
              <w:lastRenderedPageBreak/>
              <w:t>华融证券 毕子男</w:t>
            </w:r>
          </w:p>
          <w:p w:rsidR="00E25A80" w:rsidRDefault="00851C36" w:rsidP="00DE1496">
            <w:pPr>
              <w:rPr>
                <w:rFonts w:ascii="宋体" w:hAnsi="宋体"/>
                <w:bCs/>
                <w:iCs/>
                <w:sz w:val="24"/>
              </w:rPr>
            </w:pPr>
            <w:r>
              <w:rPr>
                <w:rFonts w:ascii="宋体" w:hAnsi="宋体" w:hint="eastAsia"/>
                <w:bCs/>
                <w:iCs/>
                <w:sz w:val="24"/>
              </w:rPr>
              <w:t>光大证券 杜市伟</w:t>
            </w:r>
          </w:p>
          <w:p w:rsidR="00851C36" w:rsidRDefault="00851C36" w:rsidP="00DE1496">
            <w:pPr>
              <w:rPr>
                <w:rFonts w:ascii="宋体" w:hAnsi="宋体"/>
                <w:bCs/>
                <w:iCs/>
                <w:sz w:val="24"/>
              </w:rPr>
            </w:pPr>
            <w:r>
              <w:rPr>
                <w:rFonts w:ascii="宋体" w:hAnsi="宋体" w:hint="eastAsia"/>
                <w:bCs/>
                <w:iCs/>
                <w:sz w:val="24"/>
              </w:rPr>
              <w:t>东方证券 李威</w:t>
            </w:r>
          </w:p>
        </w:tc>
      </w:tr>
      <w:tr w:rsidR="00E25A80" w:rsidTr="00DE1496">
        <w:trPr>
          <w:trHeight w:val="487"/>
        </w:trPr>
        <w:tc>
          <w:tcPr>
            <w:tcW w:w="1899" w:type="dxa"/>
          </w:tcPr>
          <w:p w:rsidR="00E25A80" w:rsidRDefault="00E25A80" w:rsidP="00DE1496">
            <w:pPr>
              <w:spacing w:line="480" w:lineRule="atLeast"/>
              <w:jc w:val="center"/>
              <w:rPr>
                <w:rFonts w:ascii="宋体" w:hAnsi="宋体"/>
                <w:b/>
                <w:bCs/>
                <w:iCs/>
                <w:color w:val="000000"/>
                <w:sz w:val="24"/>
              </w:rPr>
            </w:pPr>
            <w:r>
              <w:rPr>
                <w:rFonts w:ascii="宋体" w:hAnsi="宋体" w:hint="eastAsia"/>
                <w:b/>
                <w:bCs/>
                <w:iCs/>
                <w:color w:val="000000"/>
                <w:sz w:val="24"/>
              </w:rPr>
              <w:lastRenderedPageBreak/>
              <w:t>时间</w:t>
            </w:r>
          </w:p>
        </w:tc>
        <w:tc>
          <w:tcPr>
            <w:tcW w:w="6581" w:type="dxa"/>
          </w:tcPr>
          <w:p w:rsidR="00E25A80" w:rsidRDefault="00E25A80" w:rsidP="00DE1496">
            <w:pPr>
              <w:spacing w:line="480" w:lineRule="atLeast"/>
              <w:rPr>
                <w:rFonts w:ascii="宋体" w:hAnsi="宋体"/>
                <w:bCs/>
                <w:iCs/>
                <w:color w:val="000000"/>
                <w:sz w:val="24"/>
              </w:rPr>
            </w:pPr>
            <w:r>
              <w:rPr>
                <w:rFonts w:ascii="宋体" w:hAnsi="宋体" w:hint="eastAsia"/>
                <w:bCs/>
                <w:iCs/>
                <w:color w:val="000000"/>
                <w:sz w:val="24"/>
              </w:rPr>
              <w:t>2014年10月28日  下午1：00</w:t>
            </w:r>
          </w:p>
        </w:tc>
      </w:tr>
      <w:tr w:rsidR="00E25A80" w:rsidTr="00DE1496">
        <w:trPr>
          <w:trHeight w:val="487"/>
        </w:trPr>
        <w:tc>
          <w:tcPr>
            <w:tcW w:w="1899" w:type="dxa"/>
          </w:tcPr>
          <w:p w:rsidR="00E25A80" w:rsidRDefault="00E25A80" w:rsidP="00DE1496">
            <w:pPr>
              <w:spacing w:line="480" w:lineRule="atLeast"/>
              <w:jc w:val="center"/>
              <w:rPr>
                <w:rFonts w:ascii="宋体" w:hAnsi="宋体"/>
                <w:b/>
                <w:bCs/>
                <w:iCs/>
                <w:color w:val="000000"/>
                <w:sz w:val="24"/>
              </w:rPr>
            </w:pPr>
            <w:r>
              <w:rPr>
                <w:rFonts w:ascii="宋体" w:hAnsi="宋体" w:hint="eastAsia"/>
                <w:b/>
                <w:bCs/>
                <w:iCs/>
                <w:color w:val="000000"/>
                <w:sz w:val="24"/>
              </w:rPr>
              <w:t>地点</w:t>
            </w:r>
          </w:p>
        </w:tc>
        <w:tc>
          <w:tcPr>
            <w:tcW w:w="6581" w:type="dxa"/>
          </w:tcPr>
          <w:p w:rsidR="00E25A80" w:rsidRDefault="00E25A80" w:rsidP="00DE1496">
            <w:pPr>
              <w:spacing w:line="480" w:lineRule="atLeast"/>
              <w:rPr>
                <w:rFonts w:ascii="宋体" w:hAnsi="宋体"/>
                <w:bCs/>
                <w:iCs/>
                <w:color w:val="000000"/>
                <w:sz w:val="24"/>
              </w:rPr>
            </w:pPr>
            <w:r>
              <w:rPr>
                <w:rFonts w:ascii="宋体" w:hAnsi="宋体" w:hint="eastAsia"/>
                <w:bCs/>
                <w:iCs/>
                <w:color w:val="000000"/>
                <w:sz w:val="24"/>
              </w:rPr>
              <w:t>杭州洲际酒店</w:t>
            </w:r>
            <w:r w:rsidR="00CB6DE5">
              <w:rPr>
                <w:rFonts w:ascii="宋体" w:hAnsi="宋体" w:hint="eastAsia"/>
                <w:bCs/>
                <w:iCs/>
                <w:color w:val="000000"/>
                <w:sz w:val="24"/>
              </w:rPr>
              <w:t>新闻发布厅</w:t>
            </w:r>
            <w:bookmarkStart w:id="0" w:name="_GoBack"/>
            <w:bookmarkEnd w:id="0"/>
          </w:p>
        </w:tc>
      </w:tr>
      <w:tr w:rsidR="00E25A80" w:rsidTr="00DE1496">
        <w:trPr>
          <w:trHeight w:val="1054"/>
        </w:trPr>
        <w:tc>
          <w:tcPr>
            <w:tcW w:w="1899" w:type="dxa"/>
          </w:tcPr>
          <w:p w:rsidR="00E25A80" w:rsidRDefault="00E25A80" w:rsidP="00DE1496">
            <w:pPr>
              <w:spacing w:line="480" w:lineRule="atLeast"/>
              <w:jc w:val="center"/>
              <w:rPr>
                <w:rFonts w:ascii="宋体" w:hAnsi="宋体"/>
                <w:b/>
                <w:bCs/>
                <w:iCs/>
                <w:color w:val="000000"/>
                <w:sz w:val="24"/>
              </w:rPr>
            </w:pPr>
            <w:r>
              <w:rPr>
                <w:rFonts w:ascii="宋体" w:hAnsi="宋体" w:hint="eastAsia"/>
                <w:b/>
                <w:bCs/>
                <w:iCs/>
                <w:color w:val="000000"/>
                <w:sz w:val="24"/>
              </w:rPr>
              <w:t>上市公司接待</w:t>
            </w:r>
          </w:p>
          <w:p w:rsidR="00E25A80" w:rsidRDefault="00E25A80" w:rsidP="00DE1496">
            <w:pPr>
              <w:spacing w:line="480" w:lineRule="atLeast"/>
              <w:jc w:val="center"/>
              <w:rPr>
                <w:rFonts w:ascii="宋体" w:hAnsi="宋体"/>
                <w:b/>
                <w:bCs/>
                <w:iCs/>
                <w:color w:val="000000"/>
                <w:sz w:val="24"/>
              </w:rPr>
            </w:pPr>
            <w:r>
              <w:rPr>
                <w:rFonts w:ascii="宋体" w:hAnsi="宋体" w:hint="eastAsia"/>
                <w:b/>
                <w:bCs/>
                <w:iCs/>
                <w:color w:val="000000"/>
                <w:sz w:val="24"/>
              </w:rPr>
              <w:t>人员姓名</w:t>
            </w:r>
          </w:p>
        </w:tc>
        <w:tc>
          <w:tcPr>
            <w:tcW w:w="6581" w:type="dxa"/>
          </w:tcPr>
          <w:p w:rsidR="00E25A80" w:rsidRDefault="003577D7" w:rsidP="00E25A80">
            <w:pPr>
              <w:spacing w:line="480" w:lineRule="atLeast"/>
              <w:rPr>
                <w:rFonts w:ascii="宋体" w:hAnsi="宋体"/>
                <w:bCs/>
                <w:iCs/>
                <w:color w:val="000000"/>
                <w:sz w:val="24"/>
              </w:rPr>
            </w:pPr>
            <w:r>
              <w:rPr>
                <w:rFonts w:ascii="宋体" w:hAnsi="宋体" w:hint="eastAsia"/>
                <w:bCs/>
                <w:iCs/>
                <w:color w:val="000000"/>
                <w:sz w:val="24"/>
              </w:rPr>
              <w:t>亚厦</w:t>
            </w:r>
            <w:r w:rsidR="00E25A80">
              <w:rPr>
                <w:rFonts w:ascii="宋体" w:hAnsi="宋体" w:hint="eastAsia"/>
                <w:bCs/>
                <w:iCs/>
                <w:color w:val="000000"/>
                <w:sz w:val="24"/>
              </w:rPr>
              <w:t>控股董事长 丁欣欣</w:t>
            </w:r>
          </w:p>
          <w:p w:rsidR="00E25A80" w:rsidRDefault="00E25A80" w:rsidP="00E25A80">
            <w:pPr>
              <w:spacing w:line="480" w:lineRule="atLeast"/>
              <w:rPr>
                <w:rFonts w:ascii="宋体" w:hAnsi="宋体"/>
                <w:bCs/>
                <w:iCs/>
                <w:color w:val="000000"/>
                <w:sz w:val="24"/>
              </w:rPr>
            </w:pPr>
            <w:r>
              <w:rPr>
                <w:rFonts w:ascii="宋体" w:hAnsi="宋体" w:hint="eastAsia"/>
                <w:bCs/>
                <w:iCs/>
                <w:color w:val="000000"/>
                <w:sz w:val="24"/>
              </w:rPr>
              <w:t>董事长 丁海富</w:t>
            </w:r>
          </w:p>
          <w:p w:rsidR="00E25A80" w:rsidRDefault="00E25A80" w:rsidP="00E25A80">
            <w:pPr>
              <w:spacing w:line="480" w:lineRule="atLeast"/>
              <w:rPr>
                <w:rFonts w:ascii="宋体" w:hAnsi="宋体"/>
                <w:bCs/>
                <w:iCs/>
                <w:color w:val="000000"/>
                <w:sz w:val="24"/>
              </w:rPr>
            </w:pPr>
            <w:r>
              <w:rPr>
                <w:rFonts w:ascii="宋体" w:hAnsi="宋体" w:hint="eastAsia"/>
                <w:bCs/>
                <w:iCs/>
                <w:color w:val="000000"/>
                <w:sz w:val="24"/>
              </w:rPr>
              <w:t>副董事长   王文广</w:t>
            </w:r>
          </w:p>
          <w:p w:rsidR="00E25A80" w:rsidRDefault="00E25A80" w:rsidP="00E25A80">
            <w:pPr>
              <w:spacing w:line="480" w:lineRule="atLeast"/>
              <w:rPr>
                <w:rFonts w:ascii="宋体" w:hAnsi="宋体"/>
                <w:bCs/>
                <w:iCs/>
                <w:color w:val="000000"/>
                <w:sz w:val="24"/>
              </w:rPr>
            </w:pPr>
            <w:r>
              <w:rPr>
                <w:rFonts w:ascii="宋体" w:hAnsi="宋体" w:hint="eastAsia"/>
                <w:bCs/>
                <w:iCs/>
                <w:color w:val="000000"/>
                <w:sz w:val="24"/>
              </w:rPr>
              <w:t>总经理 俞曙</w:t>
            </w:r>
          </w:p>
          <w:p w:rsidR="00E25A80" w:rsidRDefault="00E25A80" w:rsidP="00E25A80">
            <w:pPr>
              <w:spacing w:line="480" w:lineRule="atLeast"/>
              <w:rPr>
                <w:rFonts w:ascii="宋体" w:hAnsi="宋体"/>
                <w:bCs/>
                <w:iCs/>
                <w:color w:val="000000"/>
                <w:sz w:val="24"/>
              </w:rPr>
            </w:pPr>
            <w:r>
              <w:rPr>
                <w:rFonts w:ascii="宋体" w:hAnsi="宋体" w:hint="eastAsia"/>
                <w:bCs/>
                <w:iCs/>
                <w:color w:val="000000"/>
                <w:sz w:val="24"/>
              </w:rPr>
              <w:t>董事会秘书兼副总裁 吴青谊</w:t>
            </w:r>
          </w:p>
          <w:p w:rsidR="00E25A80" w:rsidRDefault="00E25A80" w:rsidP="00E25A80">
            <w:pPr>
              <w:spacing w:line="480" w:lineRule="atLeast"/>
              <w:rPr>
                <w:rFonts w:ascii="宋体" w:hAnsi="宋体"/>
                <w:bCs/>
                <w:iCs/>
                <w:color w:val="000000"/>
                <w:sz w:val="24"/>
              </w:rPr>
            </w:pPr>
            <w:r>
              <w:rPr>
                <w:rFonts w:ascii="宋体" w:hAnsi="宋体" w:hint="eastAsia"/>
                <w:bCs/>
                <w:iCs/>
                <w:color w:val="000000"/>
                <w:sz w:val="24"/>
              </w:rPr>
              <w:t>副总裁兼投资者关系总监 戴轶钧</w:t>
            </w:r>
          </w:p>
          <w:p w:rsidR="00E25A80" w:rsidRDefault="00E25A80" w:rsidP="00E25A80">
            <w:pPr>
              <w:spacing w:line="480" w:lineRule="atLeast"/>
              <w:rPr>
                <w:rFonts w:ascii="宋体" w:hAnsi="宋体"/>
                <w:bCs/>
                <w:iCs/>
                <w:color w:val="000000"/>
                <w:sz w:val="24"/>
              </w:rPr>
            </w:pPr>
            <w:r>
              <w:rPr>
                <w:rFonts w:ascii="宋体" w:hAnsi="宋体" w:hint="eastAsia"/>
                <w:bCs/>
                <w:iCs/>
                <w:color w:val="000000"/>
                <w:sz w:val="24"/>
              </w:rPr>
              <w:t>浙江亚厦未来加电子商务有限公司董事   丁泽成</w:t>
            </w:r>
          </w:p>
          <w:p w:rsidR="00E25A80" w:rsidRPr="00FD79A8" w:rsidRDefault="00E25A80" w:rsidP="00E25A80">
            <w:pPr>
              <w:spacing w:line="480" w:lineRule="atLeast"/>
              <w:rPr>
                <w:rFonts w:ascii="宋体" w:hAnsi="宋体"/>
                <w:bCs/>
                <w:iCs/>
                <w:color w:val="000000"/>
                <w:sz w:val="24"/>
              </w:rPr>
            </w:pPr>
            <w:r>
              <w:rPr>
                <w:rFonts w:ascii="宋体" w:hAnsi="宋体" w:hint="eastAsia"/>
                <w:bCs/>
                <w:iCs/>
                <w:color w:val="000000"/>
                <w:sz w:val="24"/>
              </w:rPr>
              <w:t>深圳炫维网络技术有限公司总经理  朱金皓</w:t>
            </w:r>
          </w:p>
          <w:p w:rsidR="00E25A80" w:rsidRDefault="00E25A80" w:rsidP="00E25A80">
            <w:pPr>
              <w:spacing w:line="480" w:lineRule="atLeast"/>
              <w:rPr>
                <w:rFonts w:ascii="宋体" w:hAnsi="宋体"/>
                <w:bCs/>
                <w:iCs/>
                <w:color w:val="000000"/>
                <w:sz w:val="24"/>
              </w:rPr>
            </w:pPr>
            <w:r>
              <w:rPr>
                <w:rFonts w:ascii="宋体" w:hAnsi="宋体" w:hint="eastAsia"/>
                <w:bCs/>
                <w:iCs/>
                <w:color w:val="000000"/>
                <w:sz w:val="24"/>
              </w:rPr>
              <w:t>会议记录人     徐丹露</w:t>
            </w:r>
          </w:p>
        </w:tc>
      </w:tr>
      <w:tr w:rsidR="00E25A80" w:rsidTr="00DE1496">
        <w:trPr>
          <w:trHeight w:val="1054"/>
        </w:trPr>
        <w:tc>
          <w:tcPr>
            <w:tcW w:w="1899" w:type="dxa"/>
          </w:tcPr>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r>
              <w:rPr>
                <w:rFonts w:ascii="宋体" w:hAnsi="宋体" w:hint="eastAsia"/>
                <w:b/>
                <w:bCs/>
                <w:iCs/>
                <w:color w:val="000000"/>
                <w:sz w:val="24"/>
              </w:rPr>
              <w:t>投资者关系活动 主要内容介绍</w:t>
            </w:r>
          </w:p>
          <w:p w:rsidR="00E25A80" w:rsidRDefault="00E25A80" w:rsidP="00DE1496">
            <w:pPr>
              <w:spacing w:line="480" w:lineRule="atLeast"/>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r>
              <w:rPr>
                <w:rFonts w:ascii="宋体" w:hAnsi="宋体" w:hint="eastAsia"/>
                <w:b/>
                <w:bCs/>
                <w:iCs/>
                <w:color w:val="000000"/>
                <w:sz w:val="24"/>
              </w:rPr>
              <w:t>投资者关系活动 主要内容介绍</w:t>
            </w:r>
          </w:p>
          <w:p w:rsidR="00E25A80" w:rsidRDefault="00E25A80" w:rsidP="00DE1496">
            <w:pPr>
              <w:spacing w:line="480" w:lineRule="atLeast"/>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p>
          <w:p w:rsidR="00E25A80" w:rsidRDefault="00E25A80" w:rsidP="00E25A80">
            <w:pPr>
              <w:jc w:val="center"/>
              <w:rPr>
                <w:rFonts w:ascii="宋体" w:hAnsi="宋体"/>
                <w:b/>
                <w:bCs/>
                <w:iCs/>
                <w:color w:val="000000"/>
                <w:sz w:val="24"/>
              </w:rPr>
            </w:pPr>
            <w:r>
              <w:rPr>
                <w:rFonts w:ascii="宋体" w:hAnsi="宋体" w:hint="eastAsia"/>
                <w:b/>
                <w:bCs/>
                <w:iCs/>
                <w:color w:val="000000"/>
                <w:sz w:val="24"/>
              </w:rPr>
              <w:t>投资者关系活动 主要内容介绍</w:t>
            </w:r>
          </w:p>
          <w:p w:rsidR="00E25A80" w:rsidRPr="00E25A80" w:rsidRDefault="00E25A80" w:rsidP="00DE1496">
            <w:pPr>
              <w:spacing w:line="480" w:lineRule="atLeast"/>
              <w:jc w:val="center"/>
              <w:rPr>
                <w:rFonts w:ascii="宋体" w:hAnsi="宋体"/>
                <w:b/>
                <w:bCs/>
                <w:iCs/>
                <w:color w:val="000000"/>
                <w:sz w:val="24"/>
              </w:rPr>
            </w:pPr>
          </w:p>
        </w:tc>
        <w:tc>
          <w:tcPr>
            <w:tcW w:w="6581" w:type="dxa"/>
          </w:tcPr>
          <w:p w:rsidR="00746571" w:rsidRDefault="00746571" w:rsidP="00746571">
            <w:pPr>
              <w:rPr>
                <w:rFonts w:ascii="宋体" w:hAnsi="宋体"/>
                <w:sz w:val="24"/>
                <w:szCs w:val="24"/>
              </w:rPr>
            </w:pPr>
            <w:r>
              <w:rPr>
                <w:rFonts w:ascii="宋体" w:hAnsi="宋体" w:hint="eastAsia"/>
                <w:sz w:val="24"/>
                <w:szCs w:val="24"/>
              </w:rPr>
              <w:lastRenderedPageBreak/>
              <w:t>1、亚厦成立未来加电子商务公司的定位？</w:t>
            </w:r>
          </w:p>
          <w:p w:rsidR="00746571" w:rsidRDefault="00746571" w:rsidP="00746571">
            <w:pPr>
              <w:rPr>
                <w:rFonts w:ascii="宋体" w:hAnsi="宋体"/>
                <w:sz w:val="24"/>
                <w:szCs w:val="24"/>
              </w:rPr>
            </w:pPr>
            <w:r>
              <w:rPr>
                <w:rFonts w:ascii="宋体" w:hAnsi="宋体" w:hint="eastAsia"/>
                <w:sz w:val="24"/>
                <w:szCs w:val="24"/>
              </w:rPr>
              <w:t>答：亚厦投资5000万设立未来加电子商务子公司，未来将整合优化智能家居、家装和电商等资源，丰富公司业务结构。</w:t>
            </w:r>
          </w:p>
          <w:p w:rsidR="00746571" w:rsidRDefault="00746571" w:rsidP="00746571">
            <w:pPr>
              <w:rPr>
                <w:rFonts w:ascii="宋体" w:hAnsi="宋体"/>
                <w:sz w:val="24"/>
                <w:szCs w:val="24"/>
              </w:rPr>
            </w:pPr>
            <w:r>
              <w:rPr>
                <w:rFonts w:ascii="宋体" w:hAnsi="宋体" w:hint="eastAsia"/>
                <w:sz w:val="24"/>
                <w:szCs w:val="24"/>
              </w:rPr>
              <w:t>2、亚厦为何选择在此时做家装？</w:t>
            </w:r>
          </w:p>
          <w:p w:rsidR="00746571" w:rsidRDefault="00746571" w:rsidP="00746571">
            <w:pPr>
              <w:rPr>
                <w:rFonts w:ascii="宋体" w:hAnsi="宋体"/>
                <w:sz w:val="24"/>
                <w:szCs w:val="24"/>
              </w:rPr>
            </w:pPr>
            <w:r>
              <w:rPr>
                <w:rFonts w:ascii="宋体" w:hAnsi="宋体" w:hint="eastAsia"/>
                <w:sz w:val="24"/>
                <w:szCs w:val="24"/>
              </w:rPr>
              <w:t>答：亚厦其实从2013年年底就已经有介入家装领域的想法，这本身也是亚厦在未来转型创新发展的战略布局中非常重要的一个环节。从今年年初开始，亚厦陆续对泛家装行业的上下游所有知名的公司做了非常全面的深入研究，最终在比较各家公司的模式之后选择了炫维。</w:t>
            </w:r>
            <w:r>
              <w:rPr>
                <w:rFonts w:ascii="宋体" w:hAnsi="宋体" w:cs="Helvetica"/>
                <w:color w:val="222222"/>
                <w:sz w:val="24"/>
                <w:szCs w:val="24"/>
              </w:rPr>
              <w:t>炫维是</w:t>
            </w:r>
            <w:r>
              <w:rPr>
                <w:rFonts w:ascii="宋体" w:hAnsi="宋体" w:cs="Helvetica" w:hint="eastAsia"/>
                <w:color w:val="222222"/>
                <w:sz w:val="24"/>
                <w:szCs w:val="24"/>
              </w:rPr>
              <w:t>国内</w:t>
            </w:r>
            <w:r>
              <w:rPr>
                <w:rFonts w:ascii="宋体" w:hAnsi="宋体" w:cs="Helvetica"/>
                <w:color w:val="222222"/>
                <w:sz w:val="24"/>
                <w:szCs w:val="24"/>
              </w:rPr>
              <w:t>第一家提供三维共享网络社区和客户端三维室内设计软件(IDesign-Home)的公司，</w:t>
            </w:r>
            <w:r>
              <w:rPr>
                <w:rFonts w:ascii="宋体" w:hAnsi="宋体" w:cs="Helvetica" w:hint="eastAsia"/>
                <w:color w:val="222222"/>
                <w:sz w:val="24"/>
                <w:szCs w:val="24"/>
              </w:rPr>
              <w:t>以家居、建材、家装等泛家居产业软件开发与销售为主营。自2002年以来，其</w:t>
            </w:r>
            <w:r>
              <w:rPr>
                <w:rFonts w:ascii="宋体" w:hAnsi="宋体" w:hint="eastAsia"/>
                <w:sz w:val="24"/>
                <w:szCs w:val="24"/>
              </w:rPr>
              <w:t>一直致力于三维技术于互联网应用服务开发，具有雄厚的技术实力和完善的开发体系，此次的收购，将使亚厦快速切入家装领域，是公司倡导的科技先行、五装齐发战略的重要内容之一。</w:t>
            </w:r>
          </w:p>
          <w:p w:rsidR="00746571" w:rsidRDefault="00746571" w:rsidP="00746571">
            <w:pPr>
              <w:pStyle w:val="1"/>
              <w:numPr>
                <w:ilvl w:val="0"/>
                <w:numId w:val="3"/>
              </w:numPr>
              <w:ind w:firstLineChars="0"/>
              <w:rPr>
                <w:rFonts w:ascii="宋体" w:hAnsi="宋体"/>
                <w:sz w:val="24"/>
                <w:szCs w:val="24"/>
              </w:rPr>
            </w:pPr>
            <w:r>
              <w:rPr>
                <w:rFonts w:ascii="宋体" w:hAnsi="宋体" w:hint="eastAsia"/>
                <w:sz w:val="24"/>
                <w:szCs w:val="24"/>
              </w:rPr>
              <w:t>炫维为何选择和亚厦合作？</w:t>
            </w:r>
          </w:p>
          <w:p w:rsidR="00746571" w:rsidRDefault="00746571" w:rsidP="00746571">
            <w:pPr>
              <w:rPr>
                <w:rFonts w:ascii="宋体" w:hAnsi="宋体"/>
                <w:sz w:val="24"/>
                <w:szCs w:val="24"/>
              </w:rPr>
            </w:pPr>
            <w:r>
              <w:rPr>
                <w:rFonts w:ascii="宋体" w:hAnsi="宋体" w:hint="eastAsia"/>
                <w:sz w:val="24"/>
                <w:szCs w:val="24"/>
              </w:rPr>
              <w:t>答：炫维目前采用的事定点楼盘销售的模式为主，做的是B 2 C的业务。而亚厦作为装饰行业的行业龙头公司之一，在公装以及住宅精装领域有非常充分的资源、渠道以及营销网点，炫维和亚厦合作，能够很好地突破其营销渠道壁垒，用亚厦B2B的模式来做B2C的业务，楼盘集中营销，形成规模化效应，快速、低成本地获取客户流量。</w:t>
            </w:r>
          </w:p>
          <w:p w:rsidR="00746571" w:rsidRDefault="00746571" w:rsidP="00746571">
            <w:pPr>
              <w:rPr>
                <w:rFonts w:ascii="宋体" w:hAnsi="宋体"/>
                <w:sz w:val="24"/>
                <w:szCs w:val="24"/>
              </w:rPr>
            </w:pPr>
            <w:r>
              <w:rPr>
                <w:rFonts w:ascii="宋体" w:hAnsi="宋体" w:hint="eastAsia"/>
                <w:sz w:val="24"/>
                <w:szCs w:val="24"/>
              </w:rPr>
              <w:t>4、请具体介绍一下炫维在设计方面的优势？</w:t>
            </w:r>
          </w:p>
          <w:p w:rsidR="00746571" w:rsidRDefault="00746571" w:rsidP="00746571">
            <w:pPr>
              <w:rPr>
                <w:rFonts w:ascii="宋体" w:hAnsi="宋体"/>
                <w:sz w:val="24"/>
                <w:szCs w:val="24"/>
              </w:rPr>
            </w:pPr>
            <w:r>
              <w:rPr>
                <w:rFonts w:ascii="宋体" w:hAnsi="宋体" w:hint="eastAsia"/>
                <w:sz w:val="24"/>
                <w:szCs w:val="24"/>
              </w:rPr>
              <w:t>答：从炫维的用户软件平台（www.mhome.com</w:t>
            </w:r>
            <w:r>
              <w:rPr>
                <w:rFonts w:ascii="宋体" w:hAnsi="宋体"/>
                <w:sz w:val="24"/>
                <w:szCs w:val="24"/>
              </w:rPr>
              <w:t>）</w:t>
            </w:r>
            <w:r>
              <w:rPr>
                <w:rFonts w:ascii="宋体" w:hAnsi="宋体" w:hint="eastAsia"/>
                <w:sz w:val="24"/>
                <w:szCs w:val="24"/>
              </w:rPr>
              <w:t>可以非常明显</w:t>
            </w:r>
            <w:r>
              <w:rPr>
                <w:rFonts w:ascii="宋体" w:hAnsi="宋体" w:hint="eastAsia"/>
                <w:sz w:val="24"/>
                <w:szCs w:val="24"/>
              </w:rPr>
              <w:lastRenderedPageBreak/>
              <w:t>的感受到，其推广的设计服务是通过标准化、套餐化、快销化的方式，以3个系列和12种风格，涵盖高中低三类客户群，在家庭装修的最前端</w:t>
            </w:r>
            <w:r>
              <w:rPr>
                <w:rFonts w:ascii="宋体" w:hAnsi="宋体"/>
                <w:sz w:val="24"/>
                <w:szCs w:val="24"/>
              </w:rPr>
              <w:t>—</w:t>
            </w:r>
            <w:r>
              <w:rPr>
                <w:rFonts w:ascii="宋体" w:hAnsi="宋体" w:hint="eastAsia"/>
                <w:sz w:val="24"/>
                <w:szCs w:val="24"/>
              </w:rPr>
              <w:t>设计，给予客户非常完整优质的真实的设计效果图体验，实现全宅交钥匙工程，完美诠释了“所见即所得。”</w:t>
            </w:r>
          </w:p>
          <w:p w:rsidR="00746571" w:rsidRDefault="00746571" w:rsidP="00746571">
            <w:pPr>
              <w:rPr>
                <w:rFonts w:ascii="宋体" w:hAnsi="宋体"/>
                <w:sz w:val="24"/>
                <w:szCs w:val="24"/>
              </w:rPr>
            </w:pPr>
            <w:r>
              <w:rPr>
                <w:rFonts w:ascii="宋体" w:hAnsi="宋体" w:hint="eastAsia"/>
                <w:sz w:val="24"/>
                <w:szCs w:val="24"/>
              </w:rPr>
              <w:t>5、请问炫维这套应用软件，目前在市场有同行业的竞争对手吗？是否存在技术壁垒？</w:t>
            </w:r>
          </w:p>
          <w:p w:rsidR="00746571" w:rsidRDefault="00B93630" w:rsidP="00746571">
            <w:pPr>
              <w:rPr>
                <w:rFonts w:ascii="宋体" w:hAnsi="宋体"/>
                <w:sz w:val="24"/>
                <w:szCs w:val="24"/>
              </w:rPr>
            </w:pPr>
            <w:r>
              <w:rPr>
                <w:rFonts w:ascii="宋体" w:hAnsi="宋体" w:hint="eastAsia"/>
                <w:sz w:val="24"/>
                <w:szCs w:val="24"/>
              </w:rPr>
              <w:t>答：炫维的这套应用软件完全是</w:t>
            </w:r>
            <w:r w:rsidR="00746571">
              <w:rPr>
                <w:rFonts w:ascii="宋体" w:hAnsi="宋体" w:hint="eastAsia"/>
                <w:sz w:val="24"/>
                <w:szCs w:val="24"/>
              </w:rPr>
              <w:t xml:space="preserve">公司自主研发的，包括了一个营销软件和一个设计软件，由设计软件提供原始数据采集和设计方案，包括水电隐蔽等核心都是交由专业的设计软件来做的。而营销软件“炫动”则提供全拟真的客户体验方式，因为客户不会用软件，也不懂装修，给客户一个软件来DIY，是有难度的。炫维网络的方式非常有效的把客户前端体验和后端设计的需求区分了开来，简洁、极致、易用、所见即所得。目前，行业内的一些公司使用的应用软件大多比较简单、功能单一，或者把后端设计和前端营销两个方面是合在一起的。和其他采用直接购买应用软件的公司相比，炫维自主研发的软件是从底层架构做起，如有任意数据的修改需求，炫维的应用软件反应速度快，灵活性强，后续升级性能效率高，迭代快速，是一般的软件无法媲美的。 </w:t>
            </w:r>
          </w:p>
          <w:p w:rsidR="00746571" w:rsidRDefault="00746571" w:rsidP="00746571">
            <w:pPr>
              <w:pStyle w:val="1"/>
              <w:numPr>
                <w:ilvl w:val="0"/>
                <w:numId w:val="4"/>
              </w:numPr>
              <w:ind w:firstLineChars="0"/>
              <w:rPr>
                <w:rFonts w:ascii="宋体" w:hAnsi="宋体"/>
                <w:sz w:val="24"/>
                <w:szCs w:val="24"/>
              </w:rPr>
            </w:pPr>
            <w:r>
              <w:rPr>
                <w:rFonts w:ascii="宋体" w:hAnsi="宋体" w:hint="eastAsia"/>
                <w:sz w:val="24"/>
                <w:szCs w:val="24"/>
              </w:rPr>
              <w:t>请问炫维的商业模式是怎么样的？</w:t>
            </w:r>
          </w:p>
          <w:p w:rsidR="00746571" w:rsidRDefault="00746571" w:rsidP="00746571">
            <w:pPr>
              <w:rPr>
                <w:rFonts w:ascii="宋体" w:hAnsi="宋体"/>
                <w:sz w:val="24"/>
                <w:szCs w:val="24"/>
              </w:rPr>
            </w:pPr>
            <w:r>
              <w:rPr>
                <w:rFonts w:ascii="宋体" w:hAnsi="宋体" w:hint="eastAsia"/>
                <w:sz w:val="24"/>
                <w:szCs w:val="24"/>
              </w:rPr>
              <w:t>答：炫维与传统的家装模式不同之处在于，炫维采用的是“整车概念”提供整体家居解决方案，运用互联网思维，从客户的需求出发，把家居、家电、硬装、软装整合在一起，用打包推广的形式，以功能空间为单位，用产品模块化的方式做自由搭配组合，提供给客户挑选。这种方式标准化程度高，非常好的呈现了设计产品化，产品标准化的特点。</w:t>
            </w:r>
          </w:p>
          <w:p w:rsidR="00746571" w:rsidRDefault="00746571" w:rsidP="00746571">
            <w:pPr>
              <w:pStyle w:val="1"/>
              <w:numPr>
                <w:ilvl w:val="0"/>
                <w:numId w:val="4"/>
              </w:numPr>
              <w:ind w:firstLineChars="0"/>
              <w:rPr>
                <w:rFonts w:ascii="宋体" w:hAnsi="宋体"/>
                <w:sz w:val="24"/>
                <w:szCs w:val="24"/>
              </w:rPr>
            </w:pPr>
            <w:r>
              <w:rPr>
                <w:rFonts w:ascii="宋体" w:hAnsi="宋体" w:hint="eastAsia"/>
                <w:sz w:val="24"/>
                <w:szCs w:val="24"/>
              </w:rPr>
              <w:t>炫维和同行业其他的公司相比，其竞争优势是什么？</w:t>
            </w:r>
          </w:p>
          <w:p w:rsidR="00746571" w:rsidRDefault="00746571" w:rsidP="00746571">
            <w:pPr>
              <w:rPr>
                <w:rFonts w:ascii="宋体" w:hAnsi="宋体"/>
                <w:sz w:val="24"/>
                <w:szCs w:val="24"/>
              </w:rPr>
            </w:pPr>
            <w:r>
              <w:rPr>
                <w:rFonts w:ascii="宋体" w:hAnsi="宋体" w:hint="eastAsia"/>
                <w:sz w:val="24"/>
                <w:szCs w:val="24"/>
              </w:rPr>
              <w:t>答：炫维自2009年成立一路走来，以“集成家”为概念，：在设计方面通过标准化套餐，提供三个系列和12种风格的形式，满足了不同档次不同喜好的客户需求；在价格方面通过和泛家居材料供应商的合作，有效控制产品的供应链和成本，真正做到了价格全透明无增项；在施工方面推行施工标准化工艺和流程，体现了设计产品化，产品标准化的特点；在营销方面采用自主研发的炫动四维展示软件，消除了用户对家装前后风格和价格不一致的顾虑，诠释了“所见即所得”的概念；在管控方面炫维运用自主研发的现场监控管理系统，为客户提供了AAP全程实时建工，确保了工程的质量和工期，也节省了客户不少的精力和时间；在服务方面通过家装后的衍生服务，增强了客户粘性和二次接单率；在推广方面炫维目前在郑州和武汉已经签约了当地的装饰公司，以加盟商的形式，实现高客户转化率和强复制性的特点。可以说，炫维是将设计、施工等7个方面融为一体，形成了一套以家为中心的生态系统，完全是围绕“服务”来做，围绕“家”的需求来做的。</w:t>
            </w:r>
          </w:p>
          <w:p w:rsidR="00746571" w:rsidRDefault="00746571" w:rsidP="00746571">
            <w:pPr>
              <w:rPr>
                <w:rFonts w:ascii="宋体" w:hAnsi="宋体"/>
                <w:sz w:val="24"/>
                <w:szCs w:val="24"/>
              </w:rPr>
            </w:pPr>
            <w:r>
              <w:rPr>
                <w:rFonts w:ascii="宋体" w:hAnsi="宋体" w:hint="eastAsia"/>
                <w:sz w:val="24"/>
                <w:szCs w:val="24"/>
              </w:rPr>
              <w:lastRenderedPageBreak/>
              <w:t>8、其供应链的采购优势？</w:t>
            </w:r>
          </w:p>
          <w:p w:rsidR="00746571" w:rsidRDefault="00746571" w:rsidP="00746571">
            <w:pPr>
              <w:pStyle w:val="a4"/>
              <w:shd w:val="clear" w:color="auto" w:fill="FFFFFF"/>
              <w:spacing w:before="75" w:beforeAutospacing="0" w:after="75" w:afterAutospacing="0" w:line="315" w:lineRule="atLeast"/>
              <w:rPr>
                <w:color w:val="000000"/>
              </w:rPr>
            </w:pPr>
            <w:r>
              <w:rPr>
                <w:rFonts w:hint="eastAsia"/>
              </w:rPr>
              <w:t>答：炫维采用的全球采购方式，以F2C的模式，采用规模化采购，成本低，性价比高。另外，差异化产品则采用定制的方式，通过和定制工厂合作，定制产品出厂后以炫维的自主品牌进行销售。以供应商投建仓库的形式，为炫维的业务推广提供了良好的仓储和物流基础。目前市场上主流公司</w:t>
            </w:r>
            <w:r>
              <w:rPr>
                <w:rFonts w:hint="eastAsia"/>
                <w:color w:val="000000"/>
              </w:rPr>
              <w:t>要花20多万装修的100平的房子，炫维实际只需要收取12万。核心是两个原因，1、对国内产品，供应商想要开拓新的渠道，减小原渠道的约束。而很多供应商本来就是公司原先的软件服务客户，有过很深的合作。2、对欧洲产品，炫维为它们提供了进入中国市场成本相对低的渠道，从工厂到公司仓库就到客户家里了。未来跟亚厦合作放量后，采购价格上更有优势。</w:t>
            </w:r>
          </w:p>
          <w:p w:rsidR="00746571" w:rsidRDefault="00746571" w:rsidP="00746571">
            <w:pPr>
              <w:rPr>
                <w:rFonts w:ascii="宋体" w:hAnsi="宋体"/>
                <w:sz w:val="24"/>
                <w:szCs w:val="24"/>
              </w:rPr>
            </w:pPr>
            <w:r>
              <w:rPr>
                <w:rFonts w:ascii="宋体" w:hAnsi="宋体" w:hint="eastAsia"/>
                <w:sz w:val="24"/>
                <w:szCs w:val="24"/>
              </w:rPr>
              <w:t>9、炫维在施工端是如何操作的？</w:t>
            </w:r>
          </w:p>
          <w:p w:rsidR="00746571" w:rsidRDefault="00746571" w:rsidP="00746571">
            <w:pPr>
              <w:rPr>
                <w:rFonts w:ascii="宋体" w:hAnsi="宋体"/>
                <w:sz w:val="24"/>
                <w:szCs w:val="24"/>
              </w:rPr>
            </w:pPr>
            <w:r>
              <w:rPr>
                <w:rFonts w:ascii="宋体" w:hAnsi="宋体" w:hint="eastAsia"/>
                <w:sz w:val="24"/>
                <w:szCs w:val="24"/>
              </w:rPr>
              <w:t>答：炫维的施工运作方式有两种，其一是通过传统模式，采用大量工业化成品和半成品，以及代工定制的方式；其二是通过对原有施工团队进行培训升级。炫维针对项目经理和工长，推行“成长包”模式，这是公司专门按照公装体系研究出来的家装施工体系。</w:t>
            </w:r>
          </w:p>
          <w:p w:rsidR="00746571" w:rsidRDefault="00746571" w:rsidP="00746571">
            <w:pPr>
              <w:rPr>
                <w:rFonts w:ascii="宋体" w:hAnsi="宋体"/>
                <w:sz w:val="24"/>
                <w:szCs w:val="24"/>
              </w:rPr>
            </w:pPr>
            <w:r>
              <w:rPr>
                <w:rFonts w:ascii="宋体" w:hAnsi="宋体" w:hint="eastAsia"/>
                <w:sz w:val="24"/>
                <w:szCs w:val="24"/>
              </w:rPr>
              <w:t>10、关于之前介绍中提到的其中一个核心优势金融服务，请具体说明一下？</w:t>
            </w:r>
          </w:p>
          <w:p w:rsidR="00E25A80" w:rsidRPr="00746571" w:rsidRDefault="00746571" w:rsidP="00E25A80">
            <w:pPr>
              <w:rPr>
                <w:rFonts w:ascii="宋体" w:hAnsi="宋体"/>
                <w:sz w:val="24"/>
                <w:szCs w:val="24"/>
              </w:rPr>
            </w:pPr>
            <w:r>
              <w:rPr>
                <w:rFonts w:ascii="宋体" w:hAnsi="宋体" w:hint="eastAsia"/>
                <w:sz w:val="24"/>
                <w:szCs w:val="24"/>
              </w:rPr>
              <w:t>答：炫维和国内一家大型商业银行合作，以“M金融，M支付”为口号，推出零首付，零利息，零手续费的业务增值服务。目前采用的是支付宝的平台，在未来炫维会打造自主研发的支付平台。</w:t>
            </w:r>
          </w:p>
        </w:tc>
      </w:tr>
      <w:tr w:rsidR="00E25A80" w:rsidTr="00E25A80">
        <w:trPr>
          <w:trHeight w:val="854"/>
        </w:trPr>
        <w:tc>
          <w:tcPr>
            <w:tcW w:w="1899" w:type="dxa"/>
          </w:tcPr>
          <w:p w:rsidR="00E25A80" w:rsidRDefault="00E25A80" w:rsidP="00DE1496">
            <w:pPr>
              <w:spacing w:line="480" w:lineRule="atLeast"/>
              <w:jc w:val="center"/>
              <w:rPr>
                <w:rFonts w:ascii="宋体" w:hAnsi="宋体"/>
                <w:b/>
                <w:bCs/>
                <w:iCs/>
                <w:color w:val="000000"/>
                <w:sz w:val="24"/>
              </w:rPr>
            </w:pPr>
            <w:r>
              <w:rPr>
                <w:rFonts w:ascii="宋体" w:hAnsi="宋体" w:hint="eastAsia"/>
                <w:b/>
                <w:bCs/>
                <w:iCs/>
                <w:color w:val="000000"/>
                <w:sz w:val="24"/>
              </w:rPr>
              <w:lastRenderedPageBreak/>
              <w:t>附件清单（如有）</w:t>
            </w:r>
          </w:p>
        </w:tc>
        <w:tc>
          <w:tcPr>
            <w:tcW w:w="6581" w:type="dxa"/>
          </w:tcPr>
          <w:p w:rsidR="00E25A80" w:rsidRDefault="00E25A80" w:rsidP="00DE1496">
            <w:pPr>
              <w:rPr>
                <w:rFonts w:ascii="宋体" w:hAnsi="宋体"/>
                <w:bCs/>
                <w:iCs/>
                <w:color w:val="000000"/>
                <w:sz w:val="24"/>
              </w:rPr>
            </w:pPr>
          </w:p>
          <w:p w:rsidR="00E25A80" w:rsidRDefault="00E25A80" w:rsidP="00DE1496">
            <w:pPr>
              <w:rPr>
                <w:rFonts w:ascii="宋体" w:hAnsi="宋体"/>
                <w:sz w:val="24"/>
                <w:szCs w:val="24"/>
              </w:rPr>
            </w:pPr>
            <w:r>
              <w:rPr>
                <w:rFonts w:ascii="宋体" w:hAnsi="宋体" w:hint="eastAsia"/>
                <w:bCs/>
                <w:iCs/>
                <w:color w:val="000000"/>
                <w:sz w:val="24"/>
              </w:rPr>
              <w:t>无</w:t>
            </w:r>
          </w:p>
        </w:tc>
      </w:tr>
      <w:tr w:rsidR="00E25A80" w:rsidTr="00E25A80">
        <w:trPr>
          <w:trHeight w:val="642"/>
        </w:trPr>
        <w:tc>
          <w:tcPr>
            <w:tcW w:w="1899" w:type="dxa"/>
          </w:tcPr>
          <w:p w:rsidR="00E25A80" w:rsidRDefault="00E25A80" w:rsidP="00DE1496">
            <w:pPr>
              <w:spacing w:line="480" w:lineRule="atLeast"/>
              <w:jc w:val="center"/>
              <w:rPr>
                <w:rFonts w:ascii="宋体" w:hAnsi="宋体"/>
                <w:b/>
                <w:bCs/>
                <w:iCs/>
                <w:color w:val="000000"/>
                <w:sz w:val="24"/>
              </w:rPr>
            </w:pPr>
            <w:r>
              <w:rPr>
                <w:rFonts w:ascii="宋体" w:hAnsi="宋体" w:hint="eastAsia"/>
                <w:b/>
                <w:bCs/>
                <w:iCs/>
                <w:color w:val="000000"/>
                <w:sz w:val="24"/>
              </w:rPr>
              <w:t>日期</w:t>
            </w:r>
          </w:p>
        </w:tc>
        <w:tc>
          <w:tcPr>
            <w:tcW w:w="6581" w:type="dxa"/>
          </w:tcPr>
          <w:p w:rsidR="00E25A80" w:rsidRDefault="00E25A80" w:rsidP="00E25A80">
            <w:pPr>
              <w:spacing w:line="480" w:lineRule="atLeast"/>
              <w:rPr>
                <w:rFonts w:ascii="宋体" w:hAnsi="宋体"/>
                <w:bCs/>
                <w:iCs/>
                <w:color w:val="000000"/>
                <w:sz w:val="24"/>
              </w:rPr>
            </w:pPr>
            <w:r>
              <w:rPr>
                <w:rFonts w:ascii="宋体" w:hAnsi="宋体" w:hint="eastAsia"/>
                <w:bCs/>
                <w:iCs/>
                <w:color w:val="000000"/>
                <w:sz w:val="24"/>
              </w:rPr>
              <w:t>2014年10月28日</w:t>
            </w:r>
          </w:p>
        </w:tc>
      </w:tr>
    </w:tbl>
    <w:p w:rsidR="00D915DD" w:rsidRDefault="00D915DD"/>
    <w:sectPr w:rsidR="00D915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EF7"/>
    <w:multiLevelType w:val="multilevel"/>
    <w:tmpl w:val="14424EF7"/>
    <w:lvl w:ilvl="0">
      <w:start w:val="6"/>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201C1524"/>
    <w:multiLevelType w:val="hybridMultilevel"/>
    <w:tmpl w:val="DBCEE73C"/>
    <w:lvl w:ilvl="0" w:tplc="6E288DE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8073F3"/>
    <w:multiLevelType w:val="multilevel"/>
    <w:tmpl w:val="3A8073F3"/>
    <w:lvl w:ilvl="0">
      <w:start w:val="3"/>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499475DE"/>
    <w:multiLevelType w:val="hybridMultilevel"/>
    <w:tmpl w:val="0DCA8476"/>
    <w:lvl w:ilvl="0" w:tplc="473652C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80"/>
    <w:rsid w:val="000A022E"/>
    <w:rsid w:val="003577D7"/>
    <w:rsid w:val="00746571"/>
    <w:rsid w:val="00851C36"/>
    <w:rsid w:val="00B93630"/>
    <w:rsid w:val="00CB6DE5"/>
    <w:rsid w:val="00D915DD"/>
    <w:rsid w:val="00E11F83"/>
    <w:rsid w:val="00E25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A80"/>
    <w:pPr>
      <w:ind w:firstLineChars="200" w:firstLine="420"/>
    </w:pPr>
    <w:rPr>
      <w:rFonts w:asciiTheme="minorHAnsi" w:eastAsiaTheme="minorEastAsia" w:hAnsiTheme="minorHAnsi" w:cstheme="minorBidi"/>
    </w:rPr>
  </w:style>
  <w:style w:type="paragraph" w:styleId="a4">
    <w:name w:val="Normal (Web)"/>
    <w:basedOn w:val="a"/>
    <w:uiPriority w:val="99"/>
    <w:unhideWhenUsed/>
    <w:rsid w:val="00746571"/>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rsid w:val="007465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A80"/>
    <w:pPr>
      <w:ind w:firstLineChars="200" w:firstLine="420"/>
    </w:pPr>
    <w:rPr>
      <w:rFonts w:asciiTheme="minorHAnsi" w:eastAsiaTheme="minorEastAsia" w:hAnsiTheme="minorHAnsi" w:cstheme="minorBidi"/>
    </w:rPr>
  </w:style>
  <w:style w:type="paragraph" w:styleId="a4">
    <w:name w:val="Normal (Web)"/>
    <w:basedOn w:val="a"/>
    <w:uiPriority w:val="99"/>
    <w:unhideWhenUsed/>
    <w:rsid w:val="00746571"/>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rsid w:val="007465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474</Words>
  <Characters>2702</Characters>
  <Application>Microsoft Office Word</Application>
  <DocSecurity>0</DocSecurity>
  <Lines>22</Lines>
  <Paragraphs>6</Paragraphs>
  <ScaleCrop>false</ScaleCrop>
  <Company>Microsoft</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12313131</dc:creator>
  <cp:lastModifiedBy>袁露卿</cp:lastModifiedBy>
  <cp:revision>8</cp:revision>
  <dcterms:created xsi:type="dcterms:W3CDTF">2014-10-28T11:42:00Z</dcterms:created>
  <dcterms:modified xsi:type="dcterms:W3CDTF">2014-10-29T07:08:00Z</dcterms:modified>
</cp:coreProperties>
</file>