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6E" w:rsidRPr="00157CF5" w:rsidRDefault="0045123C" w:rsidP="001714C3">
      <w:pPr>
        <w:spacing w:beforeLines="50" w:before="156" w:afterLines="50" w:after="156" w:line="540" w:lineRule="exact"/>
        <w:rPr>
          <w:rFonts w:ascii="宋体" w:hAnsi="宋体"/>
          <w:bCs/>
          <w:iCs/>
          <w:color w:val="000000"/>
          <w:sz w:val="24"/>
        </w:rPr>
      </w:pPr>
      <w:bookmarkStart w:id="0" w:name="_GoBack"/>
      <w:r w:rsidRPr="00157CF5">
        <w:rPr>
          <w:rFonts w:ascii="宋体" w:hAnsi="宋体" w:hint="eastAsia"/>
          <w:bCs/>
          <w:iCs/>
          <w:color w:val="000000"/>
          <w:sz w:val="24"/>
        </w:rPr>
        <w:t xml:space="preserve">证券代码：000605      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</w:t>
      </w:r>
      <w:r w:rsidRPr="00157CF5">
        <w:rPr>
          <w:rFonts w:ascii="宋体" w:hAnsi="宋体" w:hint="eastAsia"/>
          <w:bCs/>
          <w:iCs/>
          <w:color w:val="000000"/>
          <w:sz w:val="24"/>
        </w:rPr>
        <w:t xml:space="preserve"> 证券简称：渤海股份</w:t>
      </w:r>
    </w:p>
    <w:p w:rsidR="0045123C" w:rsidRDefault="0045123C" w:rsidP="001714C3">
      <w:pPr>
        <w:spacing w:beforeLines="50" w:before="156" w:afterLines="50" w:after="156" w:line="54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渤海水业股份有限公司投资者关系活动记录表</w:t>
      </w:r>
    </w:p>
    <w:p w:rsidR="0045123C" w:rsidRDefault="0045123C" w:rsidP="001714C3">
      <w:pPr>
        <w:spacing w:line="54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</w:t>
      </w:r>
      <w:r w:rsidR="00B8721F">
        <w:rPr>
          <w:rFonts w:ascii="宋体" w:hAnsi="宋体" w:hint="eastAsia"/>
          <w:bCs/>
          <w:iCs/>
          <w:color w:val="000000"/>
          <w:sz w:val="24"/>
        </w:rPr>
        <w:t xml:space="preserve">   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B173C3">
        <w:rPr>
          <w:rFonts w:ascii="宋体" w:hAnsi="宋体" w:hint="eastAsia"/>
          <w:bCs/>
          <w:iCs/>
          <w:color w:val="000000"/>
          <w:sz w:val="24"/>
        </w:rPr>
        <w:t>2014-001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62"/>
        <w:gridCol w:w="6440"/>
      </w:tblGrid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AC2F4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Symbol" w:char="F0D6"/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特定对象调研        </w:t>
            </w:r>
            <w:r w:rsidR="00FD6CC8">
              <w:rPr>
                <w:rFonts w:ascii="宋体" w:hAnsi="宋体"/>
                <w:bCs/>
                <w:iCs/>
                <w:color w:val="000000"/>
                <w:sz w:val="24"/>
              </w:rPr>
              <w:t xml:space="preserve"> </w:t>
            </w:r>
            <w:r w:rsidR="0045123C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45123C"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分析师会议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业绩说明会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路演活动</w:t>
            </w:r>
          </w:p>
          <w:p w:rsidR="0045123C" w:rsidRDefault="0045123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45123C" w:rsidRDefault="0045123C" w:rsidP="00A3526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FD6CC8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其他 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B3" w:rsidRDefault="007D4E00" w:rsidP="00A40AB3">
            <w:pPr>
              <w:spacing w:line="4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方正证券</w:t>
            </w:r>
            <w:r w:rsidR="00A40AB3">
              <w:rPr>
                <w:rFonts w:hint="eastAsia"/>
                <w:sz w:val="24"/>
              </w:rPr>
              <w:t>股份</w:t>
            </w:r>
            <w:r w:rsidR="00A40AB3">
              <w:rPr>
                <w:sz w:val="24"/>
              </w:rPr>
              <w:t>有限公司</w:t>
            </w:r>
            <w:r w:rsidR="00A40AB3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郭丽丽</w:t>
            </w:r>
          </w:p>
          <w:p w:rsidR="0045123C" w:rsidRDefault="007D4E00" w:rsidP="00A40AB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新华基金</w:t>
            </w:r>
            <w:r w:rsidR="00A40AB3">
              <w:rPr>
                <w:rFonts w:hint="eastAsia"/>
                <w:sz w:val="24"/>
              </w:rPr>
              <w:t>管理</w:t>
            </w:r>
            <w:r w:rsidR="00A40AB3">
              <w:rPr>
                <w:sz w:val="24"/>
              </w:rPr>
              <w:t>有限公司</w:t>
            </w:r>
            <w:r w:rsidR="00A40AB3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钟俊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7D4E0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4"/>
              </w:smartTagPr>
              <w:r w:rsidRPr="0065250E">
                <w:rPr>
                  <w:rFonts w:ascii="宋体" w:hAnsi="宋体" w:cs="宋体" w:hint="eastAsia"/>
                  <w:sz w:val="24"/>
                </w:rPr>
                <w:t>2014年1</w:t>
              </w:r>
              <w:r w:rsidRPr="0065250E">
                <w:rPr>
                  <w:rFonts w:ascii="宋体" w:hAnsi="宋体" w:cs="宋体"/>
                  <w:sz w:val="24"/>
                </w:rPr>
                <w:t>2</w:t>
              </w:r>
              <w:r w:rsidRPr="0065250E">
                <w:rPr>
                  <w:rFonts w:ascii="宋体" w:hAnsi="宋体" w:cs="宋体" w:hint="eastAsia"/>
                  <w:sz w:val="24"/>
                </w:rPr>
                <w:t>月</w:t>
              </w:r>
              <w:r w:rsidRPr="0065250E">
                <w:rPr>
                  <w:rFonts w:ascii="宋体" w:hAnsi="宋体" w:cs="宋体"/>
                  <w:sz w:val="24"/>
                </w:rPr>
                <w:t>11</w:t>
              </w:r>
              <w:r w:rsidRPr="0065250E">
                <w:rPr>
                  <w:rFonts w:ascii="宋体" w:hAnsi="宋体" w:cs="宋体" w:hint="eastAsia"/>
                  <w:sz w:val="24"/>
                </w:rPr>
                <w:t>日</w:t>
              </w:r>
            </w:smartTag>
            <w:r>
              <w:rPr>
                <w:rFonts w:ascii="宋体" w:hAnsi="宋体" w:cs="宋体" w:hint="eastAsia"/>
                <w:sz w:val="24"/>
              </w:rPr>
              <w:t>14:00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7D4E0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836CB">
              <w:rPr>
                <w:rFonts w:ascii="宋体" w:hAnsi="宋体" w:cs="宋体" w:hint="eastAsia"/>
                <w:sz w:val="24"/>
              </w:rPr>
              <w:t>公司会议室</w:t>
            </w:r>
          </w:p>
        </w:tc>
      </w:tr>
      <w:tr w:rsidR="0045123C" w:rsidTr="008A39E9">
        <w:trPr>
          <w:trHeight w:val="9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FD11A0" w:rsidP="00FD11A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董事会</w:t>
            </w:r>
            <w:r>
              <w:rPr>
                <w:sz w:val="24"/>
              </w:rPr>
              <w:t>秘书</w:t>
            </w:r>
            <w:r w:rsidR="007B7594">
              <w:rPr>
                <w:rFonts w:hint="eastAsia"/>
                <w:sz w:val="24"/>
              </w:rPr>
              <w:t>江波</w:t>
            </w:r>
            <w:r w:rsidR="007B7594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证券事务</w:t>
            </w:r>
            <w:r>
              <w:rPr>
                <w:sz w:val="24"/>
              </w:rPr>
              <w:t>代表</w:t>
            </w:r>
            <w:r w:rsidR="00561AF4">
              <w:rPr>
                <w:sz w:val="24"/>
              </w:rPr>
              <w:t>王萍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B8" w:rsidRPr="003B53B8" w:rsidRDefault="004A1AB0" w:rsidP="001F077F">
            <w:pPr>
              <w:pStyle w:val="a6"/>
              <w:numPr>
                <w:ilvl w:val="0"/>
                <w:numId w:val="1"/>
              </w:numPr>
              <w:spacing w:line="520" w:lineRule="exact"/>
              <w:ind w:firstLineChars="0"/>
              <w:rPr>
                <w:sz w:val="24"/>
              </w:rPr>
            </w:pPr>
            <w:r w:rsidRPr="003B53B8">
              <w:rPr>
                <w:rFonts w:hint="eastAsia"/>
                <w:sz w:val="24"/>
              </w:rPr>
              <w:t>公司供水范围大概包括哪些？</w:t>
            </w:r>
          </w:p>
          <w:p w:rsidR="004A1AB0" w:rsidRPr="003B53B8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 w:rsidRPr="003B53B8">
              <w:rPr>
                <w:rFonts w:hint="eastAsia"/>
                <w:sz w:val="24"/>
              </w:rPr>
              <w:t>公司</w:t>
            </w:r>
            <w:r w:rsidR="00E63957">
              <w:rPr>
                <w:rFonts w:hint="eastAsia"/>
                <w:sz w:val="24"/>
              </w:rPr>
              <w:t>供水业务</w:t>
            </w:r>
            <w:r w:rsidRPr="003B53B8">
              <w:rPr>
                <w:rFonts w:hint="eastAsia"/>
                <w:sz w:val="24"/>
              </w:rPr>
              <w:t>以原水供应为主，</w:t>
            </w:r>
            <w:r w:rsidR="003B53B8">
              <w:rPr>
                <w:rFonts w:hint="eastAsia"/>
                <w:sz w:val="24"/>
              </w:rPr>
              <w:t>供水区域</w:t>
            </w:r>
            <w:r w:rsidRPr="003B53B8">
              <w:rPr>
                <w:rFonts w:hint="eastAsia"/>
                <w:sz w:val="24"/>
              </w:rPr>
              <w:t>主要集中在天津滨海新区</w:t>
            </w:r>
            <w:r w:rsidR="003B53B8" w:rsidRPr="003B53B8">
              <w:rPr>
                <w:rFonts w:hint="eastAsia"/>
                <w:sz w:val="24"/>
              </w:rPr>
              <w:t>和永定新河以北区域</w:t>
            </w:r>
            <w:r w:rsidRPr="003B53B8">
              <w:rPr>
                <w:rFonts w:hint="eastAsia"/>
                <w:sz w:val="24"/>
              </w:rPr>
              <w:t>。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、公司供水量如果单纯依靠天津市场，增量不大。面对融资平台，公司有什么发展规划？</w:t>
            </w:r>
          </w:p>
          <w:p w:rsidR="003B53B8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</w:t>
            </w:r>
            <w:r w:rsidR="00E63957">
              <w:rPr>
                <w:rFonts w:hint="eastAsia"/>
                <w:sz w:val="24"/>
              </w:rPr>
              <w:t>会按照既定的发展战略</w:t>
            </w:r>
            <w:r w:rsidR="003B53B8">
              <w:rPr>
                <w:rFonts w:hint="eastAsia"/>
                <w:sz w:val="24"/>
              </w:rPr>
              <w:t>，</w:t>
            </w:r>
            <w:r w:rsidR="003B53B8" w:rsidRPr="003B53B8">
              <w:rPr>
                <w:rFonts w:hint="eastAsia"/>
                <w:sz w:val="24"/>
              </w:rPr>
              <w:t>以供水主业为基础，</w:t>
            </w:r>
            <w:r w:rsidR="003B53B8">
              <w:rPr>
                <w:rFonts w:hint="eastAsia"/>
                <w:sz w:val="24"/>
              </w:rPr>
              <w:t>借力资本市场平台，积极推动外延式增长，</w:t>
            </w:r>
            <w:r w:rsidR="00630275">
              <w:rPr>
                <w:rFonts w:hint="eastAsia"/>
                <w:sz w:val="24"/>
              </w:rPr>
              <w:t>实现跨区域发展，</w:t>
            </w:r>
            <w:r w:rsidR="003B53B8" w:rsidRPr="003B53B8">
              <w:rPr>
                <w:rFonts w:hint="eastAsia"/>
                <w:sz w:val="24"/>
              </w:rPr>
              <w:t>大力</w:t>
            </w:r>
            <w:r w:rsidR="00630275">
              <w:rPr>
                <w:rFonts w:hint="eastAsia"/>
                <w:sz w:val="24"/>
              </w:rPr>
              <w:t>推动</w:t>
            </w:r>
            <w:r w:rsidR="003B53B8" w:rsidRPr="003B53B8">
              <w:rPr>
                <w:rFonts w:hint="eastAsia"/>
                <w:sz w:val="24"/>
              </w:rPr>
              <w:t>污水和环境治理业务，积极培育和拓展产业链</w:t>
            </w:r>
            <w:r w:rsidR="00E63957">
              <w:rPr>
                <w:rFonts w:hint="eastAsia"/>
                <w:sz w:val="24"/>
              </w:rPr>
              <w:t>相关业务，实现水务环境领域一体化协同发展。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、公司上次谈的合作方隆润公司的基本业务是什么？公司存在哪些考虑终止合作意向？公司后期寻找合作标的的标准是什么？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隆润公司的基本业务是</w:t>
            </w:r>
            <w:r w:rsidR="006D61E2">
              <w:rPr>
                <w:rFonts w:hint="eastAsia"/>
                <w:sz w:val="24"/>
              </w:rPr>
              <w:t>垃圾</w:t>
            </w:r>
            <w:r>
              <w:rPr>
                <w:rFonts w:hint="eastAsia"/>
                <w:sz w:val="24"/>
              </w:rPr>
              <w:t>滤液处理，生活垃圾</w:t>
            </w:r>
            <w:r w:rsidR="006D61E2">
              <w:rPr>
                <w:rFonts w:hint="eastAsia"/>
                <w:sz w:val="24"/>
              </w:rPr>
              <w:t>综合</w:t>
            </w:r>
            <w:r>
              <w:rPr>
                <w:rFonts w:hint="eastAsia"/>
                <w:sz w:val="24"/>
              </w:rPr>
              <w:t>处理，</w:t>
            </w:r>
            <w:r w:rsidR="00E63957">
              <w:rPr>
                <w:rFonts w:hint="eastAsia"/>
                <w:sz w:val="24"/>
              </w:rPr>
              <w:t>城市</w:t>
            </w:r>
            <w:r>
              <w:rPr>
                <w:rFonts w:hint="eastAsia"/>
                <w:sz w:val="24"/>
              </w:rPr>
              <w:t>粪便前期的预处理等业务。</w:t>
            </w:r>
            <w:r w:rsidR="006D61E2">
              <w:rPr>
                <w:rFonts w:hint="eastAsia"/>
                <w:sz w:val="24"/>
              </w:rPr>
              <w:t>因</w:t>
            </w:r>
            <w:r w:rsidR="006D61E2" w:rsidRPr="006D61E2">
              <w:rPr>
                <w:rFonts w:hint="eastAsia"/>
                <w:sz w:val="24"/>
              </w:rPr>
              <w:t>交易相</w:t>
            </w:r>
            <w:r w:rsidR="00C35341">
              <w:rPr>
                <w:rFonts w:hint="eastAsia"/>
                <w:sz w:val="24"/>
              </w:rPr>
              <w:t>关各方对标的资产的交易价格和交易条件存在较大分歧而终止合作。</w:t>
            </w:r>
          </w:p>
          <w:p w:rsidR="004A1AB0" w:rsidRDefault="00C35341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公司将来主要</w:t>
            </w:r>
            <w:r w:rsidR="00E63957">
              <w:rPr>
                <w:rFonts w:hint="eastAsia"/>
                <w:sz w:val="24"/>
              </w:rPr>
              <w:t>会</w:t>
            </w:r>
            <w:r w:rsidR="004A1AB0">
              <w:rPr>
                <w:rFonts w:hint="eastAsia"/>
                <w:sz w:val="24"/>
              </w:rPr>
              <w:t>重点关注有一定核心技术能力和水平，有较大市场潜力</w:t>
            </w:r>
            <w:r w:rsidR="00E63957">
              <w:rPr>
                <w:rFonts w:hint="eastAsia"/>
                <w:sz w:val="24"/>
              </w:rPr>
              <w:t>，有可持续拓展能力</w:t>
            </w:r>
            <w:r w:rsidR="0015145C">
              <w:rPr>
                <w:rFonts w:hint="eastAsia"/>
                <w:sz w:val="24"/>
              </w:rPr>
              <w:t>的</w:t>
            </w:r>
            <w:r w:rsidR="00E63957">
              <w:rPr>
                <w:rFonts w:hint="eastAsia"/>
                <w:sz w:val="24"/>
              </w:rPr>
              <w:t>水务和环境类业务。</w:t>
            </w:r>
            <w:r w:rsidR="00E63957">
              <w:rPr>
                <w:sz w:val="24"/>
              </w:rPr>
              <w:t xml:space="preserve"> 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、如果</w:t>
            </w:r>
            <w:r w:rsidR="00E63957">
              <w:rPr>
                <w:rFonts w:hint="eastAsia"/>
                <w:sz w:val="24"/>
              </w:rPr>
              <w:t>公司</w:t>
            </w:r>
            <w:r>
              <w:rPr>
                <w:rFonts w:hint="eastAsia"/>
                <w:sz w:val="24"/>
              </w:rPr>
              <w:t>未来在滨海新区出现新的合作方，管网建设是公司自建还是可以用市政的管网？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在滨海新区，公司与各园区管委会合作，区域内的原水管网建设基本已经覆盖。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、公司实际控制人天津市水务局对公司的考核，侧重于总资产还是业绩？水务局还有没有其他资产？</w:t>
            </w:r>
          </w:p>
          <w:p w:rsidR="004A1AB0" w:rsidRDefault="00C35341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目前市水务局对市值方面</w:t>
            </w:r>
            <w:r w:rsidR="004A1AB0">
              <w:rPr>
                <w:rFonts w:hint="eastAsia"/>
                <w:sz w:val="24"/>
              </w:rPr>
              <w:t>没有明确的考核要求。水务局有南水北调的管线、引滦入津</w:t>
            </w:r>
            <w:r>
              <w:rPr>
                <w:rFonts w:hint="eastAsia"/>
                <w:sz w:val="24"/>
              </w:rPr>
              <w:t>主干</w:t>
            </w:r>
            <w:r w:rsidR="004A1AB0">
              <w:rPr>
                <w:rFonts w:hint="eastAsia"/>
                <w:sz w:val="24"/>
              </w:rPr>
              <w:t>线</w:t>
            </w:r>
            <w:r>
              <w:rPr>
                <w:rFonts w:hint="eastAsia"/>
                <w:sz w:val="24"/>
              </w:rPr>
              <w:t>及</w:t>
            </w:r>
            <w:r w:rsidR="004A1AB0">
              <w:rPr>
                <w:rFonts w:hint="eastAsia"/>
                <w:sz w:val="24"/>
              </w:rPr>
              <w:t>水库</w:t>
            </w:r>
            <w:r>
              <w:rPr>
                <w:rFonts w:hint="eastAsia"/>
                <w:sz w:val="24"/>
              </w:rPr>
              <w:t>、闸涵</w:t>
            </w:r>
            <w:r w:rsidR="004A1AB0">
              <w:rPr>
                <w:rFonts w:hint="eastAsia"/>
                <w:sz w:val="24"/>
              </w:rPr>
              <w:t>等资产。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、南水北调工程运营收费预计？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目前该工程的</w:t>
            </w:r>
            <w:r w:rsidR="006D61E2">
              <w:rPr>
                <w:rFonts w:hint="eastAsia"/>
                <w:sz w:val="24"/>
              </w:rPr>
              <w:t>运营模式、</w:t>
            </w:r>
            <w:r>
              <w:rPr>
                <w:rFonts w:hint="eastAsia"/>
                <w:sz w:val="24"/>
              </w:rPr>
              <w:t>收费方式、定价方式还没定下来。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、公司重组时为什么只承诺了一年的</w:t>
            </w:r>
            <w:r w:rsidR="006D61E2">
              <w:rPr>
                <w:rFonts w:hint="eastAsia"/>
                <w:sz w:val="24"/>
              </w:rPr>
              <w:t>业绩</w:t>
            </w:r>
            <w:r>
              <w:rPr>
                <w:rFonts w:hint="eastAsia"/>
                <w:sz w:val="24"/>
              </w:rPr>
              <w:t>，有的公司是做了三年的预测？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因为公司重组时采用的是成本法进行估值，不需要对业绩进行承诺。</w:t>
            </w:r>
          </w:p>
          <w:p w:rsidR="004A1AB0" w:rsidRDefault="004A1AB0" w:rsidP="001F077F">
            <w:pPr>
              <w:spacing w:line="520" w:lineRule="exact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、公司业绩相比去年的情况如何？</w:t>
            </w:r>
          </w:p>
          <w:p w:rsidR="0045123C" w:rsidRDefault="00C35341" w:rsidP="001F077F">
            <w:pPr>
              <w:spacing w:line="520" w:lineRule="exact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从前三季度业绩看，公司供水业务基本稳定，</w:t>
            </w:r>
            <w:r>
              <w:rPr>
                <w:rFonts w:hint="eastAsia"/>
                <w:sz w:val="24"/>
              </w:rPr>
              <w:t>BT</w:t>
            </w:r>
            <w:r>
              <w:rPr>
                <w:rFonts w:hint="eastAsia"/>
                <w:sz w:val="24"/>
              </w:rPr>
              <w:t>项目投资回报较去年</w:t>
            </w:r>
            <w:r w:rsidR="00E63957">
              <w:rPr>
                <w:rFonts w:hint="eastAsia"/>
                <w:sz w:val="24"/>
              </w:rPr>
              <w:t>同期</w:t>
            </w:r>
            <w:r>
              <w:rPr>
                <w:rFonts w:hint="eastAsia"/>
                <w:sz w:val="24"/>
              </w:rPr>
              <w:t>有所减少。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8454B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承诺书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、会议记录。</w:t>
            </w:r>
          </w:p>
        </w:tc>
      </w:tr>
      <w:tr w:rsidR="0045123C" w:rsidTr="0045123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23C" w:rsidRDefault="004512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C" w:rsidRDefault="00D9225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2"/>
                <w:attr w:name="Year" w:val="2014"/>
              </w:smartTagPr>
              <w:r w:rsidRPr="0065250E">
                <w:rPr>
                  <w:rFonts w:ascii="宋体" w:hAnsi="宋体" w:cs="宋体" w:hint="eastAsia"/>
                  <w:sz w:val="24"/>
                </w:rPr>
                <w:t>2014年1</w:t>
              </w:r>
              <w:r w:rsidRPr="0065250E">
                <w:rPr>
                  <w:rFonts w:ascii="宋体" w:hAnsi="宋体" w:cs="宋体"/>
                  <w:sz w:val="24"/>
                </w:rPr>
                <w:t>2</w:t>
              </w:r>
              <w:r w:rsidRPr="0065250E">
                <w:rPr>
                  <w:rFonts w:ascii="宋体" w:hAnsi="宋体" w:cs="宋体" w:hint="eastAsia"/>
                  <w:sz w:val="24"/>
                </w:rPr>
                <w:t>月</w:t>
              </w:r>
              <w:r w:rsidRPr="0065250E">
                <w:rPr>
                  <w:rFonts w:ascii="宋体" w:hAnsi="宋体" w:cs="宋体"/>
                  <w:sz w:val="24"/>
                </w:rPr>
                <w:t>11</w:t>
              </w:r>
              <w:r w:rsidRPr="0065250E">
                <w:rPr>
                  <w:rFonts w:ascii="宋体" w:hAnsi="宋体" w:cs="宋体" w:hint="eastAsia"/>
                  <w:sz w:val="24"/>
                </w:rPr>
                <w:t>日</w:t>
              </w:r>
            </w:smartTag>
          </w:p>
        </w:tc>
      </w:tr>
    </w:tbl>
    <w:p w:rsidR="002A655F" w:rsidRDefault="002A655F" w:rsidP="001F077F">
      <w:pPr>
        <w:rPr>
          <w:rFonts w:hint="eastAsia"/>
        </w:rPr>
      </w:pPr>
    </w:p>
    <w:sectPr w:rsidR="002A655F" w:rsidSect="00670ED8">
      <w:pgSz w:w="11906" w:h="16838"/>
      <w:pgMar w:top="1435" w:right="1797" w:bottom="142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56" w:rsidRDefault="00C43956" w:rsidP="00A40AB3">
      <w:r>
        <w:separator/>
      </w:r>
    </w:p>
  </w:endnote>
  <w:endnote w:type="continuationSeparator" w:id="0">
    <w:p w:rsidR="00C43956" w:rsidRDefault="00C43956" w:rsidP="00A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56" w:rsidRDefault="00C43956" w:rsidP="00A40AB3">
      <w:r>
        <w:separator/>
      </w:r>
    </w:p>
  </w:footnote>
  <w:footnote w:type="continuationSeparator" w:id="0">
    <w:p w:rsidR="00C43956" w:rsidRDefault="00C43956" w:rsidP="00A40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257F32"/>
    <w:multiLevelType w:val="hybridMultilevel"/>
    <w:tmpl w:val="88D02FBE"/>
    <w:lvl w:ilvl="0" w:tplc="04BE462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3C"/>
    <w:rsid w:val="00037EFE"/>
    <w:rsid w:val="00056A36"/>
    <w:rsid w:val="0015145C"/>
    <w:rsid w:val="00152FA6"/>
    <w:rsid w:val="00157CF5"/>
    <w:rsid w:val="001714C3"/>
    <w:rsid w:val="00196ABD"/>
    <w:rsid w:val="001C19FC"/>
    <w:rsid w:val="001F077F"/>
    <w:rsid w:val="00296AC7"/>
    <w:rsid w:val="002A655F"/>
    <w:rsid w:val="00300C6E"/>
    <w:rsid w:val="003B53B8"/>
    <w:rsid w:val="0045123C"/>
    <w:rsid w:val="004A1AB0"/>
    <w:rsid w:val="00561AF4"/>
    <w:rsid w:val="005740AA"/>
    <w:rsid w:val="005F060E"/>
    <w:rsid w:val="00630275"/>
    <w:rsid w:val="006656F7"/>
    <w:rsid w:val="00670ED8"/>
    <w:rsid w:val="006917E1"/>
    <w:rsid w:val="006D61E2"/>
    <w:rsid w:val="0074140E"/>
    <w:rsid w:val="007B7594"/>
    <w:rsid w:val="007D4E00"/>
    <w:rsid w:val="00844504"/>
    <w:rsid w:val="008454B4"/>
    <w:rsid w:val="00856873"/>
    <w:rsid w:val="00857627"/>
    <w:rsid w:val="008804ED"/>
    <w:rsid w:val="008A39E9"/>
    <w:rsid w:val="008E297F"/>
    <w:rsid w:val="008F0AB2"/>
    <w:rsid w:val="00932EFF"/>
    <w:rsid w:val="009B23DC"/>
    <w:rsid w:val="009D24A6"/>
    <w:rsid w:val="00A27F2C"/>
    <w:rsid w:val="00A35269"/>
    <w:rsid w:val="00A40AB3"/>
    <w:rsid w:val="00AC2F40"/>
    <w:rsid w:val="00B173C3"/>
    <w:rsid w:val="00B464CE"/>
    <w:rsid w:val="00B52513"/>
    <w:rsid w:val="00B8721F"/>
    <w:rsid w:val="00BB11F9"/>
    <w:rsid w:val="00BE44AF"/>
    <w:rsid w:val="00C35341"/>
    <w:rsid w:val="00C43956"/>
    <w:rsid w:val="00C54B83"/>
    <w:rsid w:val="00D06E48"/>
    <w:rsid w:val="00D254C1"/>
    <w:rsid w:val="00D9225A"/>
    <w:rsid w:val="00E45D21"/>
    <w:rsid w:val="00E63957"/>
    <w:rsid w:val="00ED6769"/>
    <w:rsid w:val="00F43E56"/>
    <w:rsid w:val="00FD11A0"/>
    <w:rsid w:val="00FD6CC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DFFA0EA8-8ACA-4865-AC7E-1DCA408F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23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40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0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0AB3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3B5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8DF5C-52DA-4A3E-B774-64463212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王萍</dc:creator>
  <cp:keywords/>
  <dc:description/>
  <cp:lastModifiedBy>王萍</cp:lastModifiedBy>
  <cp:revision>5</cp:revision>
  <dcterms:created xsi:type="dcterms:W3CDTF">2014-12-12T01:02:00Z</dcterms:created>
  <dcterms:modified xsi:type="dcterms:W3CDTF">2014-12-12T01:03:00Z</dcterms:modified>
</cp:coreProperties>
</file>