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46" w:rsidRDefault="00C259C4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>证券代码：</w:t>
      </w:r>
      <w:r>
        <w:rPr>
          <w:rFonts w:ascii="宋体" w:hAnsi="宋体" w:hint="eastAsia"/>
          <w:bCs/>
          <w:iCs/>
          <w:color w:val="000000"/>
          <w:sz w:val="24"/>
        </w:rPr>
        <w:t xml:space="preserve">002375                        </w:t>
      </w:r>
      <w:r>
        <w:rPr>
          <w:rFonts w:ascii="宋体" w:hAnsi="宋体" w:hint="eastAsia"/>
          <w:bCs/>
          <w:iCs/>
          <w:color w:val="000000"/>
          <w:sz w:val="24"/>
        </w:rPr>
        <w:t>证券简称：</w:t>
      </w:r>
      <w:proofErr w:type="gramStart"/>
      <w:r>
        <w:rPr>
          <w:rFonts w:ascii="宋体" w:hAnsi="宋体" w:hint="eastAsia"/>
          <w:bCs/>
          <w:iCs/>
          <w:color w:val="000000"/>
          <w:sz w:val="24"/>
        </w:rPr>
        <w:t>亚厦股份</w:t>
      </w:r>
      <w:proofErr w:type="gramEnd"/>
    </w:p>
    <w:p w:rsidR="00560846" w:rsidRDefault="00C259C4">
      <w:pPr>
        <w:tabs>
          <w:tab w:val="left" w:pos="3360"/>
        </w:tabs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浙江亚厦装饰股份有限公司投资者关系活动记录表</w:t>
      </w:r>
    </w:p>
    <w:p w:rsidR="00560846" w:rsidRDefault="00C259C4">
      <w:pPr>
        <w:spacing w:line="400" w:lineRule="exact"/>
        <w:rPr>
          <w:rFonts w:ascii="宋体" w:hAnsi="宋体"/>
          <w:bCs/>
          <w:iCs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  </w:t>
      </w:r>
      <w:r>
        <w:rPr>
          <w:rFonts w:ascii="宋体" w:hAnsi="宋体" w:hint="eastAsia"/>
          <w:bCs/>
          <w:iCs/>
          <w:sz w:val="24"/>
        </w:rPr>
        <w:t xml:space="preserve">   </w:t>
      </w:r>
      <w:r>
        <w:rPr>
          <w:rFonts w:ascii="宋体" w:hAnsi="宋体" w:hint="eastAsia"/>
          <w:bCs/>
          <w:iCs/>
          <w:sz w:val="24"/>
        </w:rPr>
        <w:t>编号：</w:t>
      </w:r>
      <w:r>
        <w:rPr>
          <w:rFonts w:ascii="宋体" w:hAnsi="宋体" w:hint="eastAsia"/>
          <w:bCs/>
          <w:iCs/>
          <w:sz w:val="24"/>
        </w:rPr>
        <w:t>2014-12</w:t>
      </w:r>
    </w:p>
    <w:tbl>
      <w:tblPr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9"/>
        <w:gridCol w:w="6581"/>
      </w:tblGrid>
      <w:tr w:rsidR="00560846">
        <w:trPr>
          <w:trHeight w:val="1558"/>
        </w:trPr>
        <w:tc>
          <w:tcPr>
            <w:tcW w:w="1899" w:type="dxa"/>
          </w:tcPr>
          <w:p w:rsidR="00560846" w:rsidRDefault="00C259C4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投资者关系活动类别</w:t>
            </w:r>
          </w:p>
          <w:p w:rsidR="00560846" w:rsidRDefault="00560846">
            <w:pPr>
              <w:spacing w:line="480" w:lineRule="atLeast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581" w:type="dxa"/>
          </w:tcPr>
          <w:p w:rsidR="00560846" w:rsidRDefault="00C259C4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√特定对象调研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□分析师会议</w:t>
            </w:r>
          </w:p>
          <w:p w:rsidR="00560846" w:rsidRDefault="00C259C4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□媒体采访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□业绩说明会</w:t>
            </w:r>
          </w:p>
          <w:p w:rsidR="00560846" w:rsidRDefault="00C259C4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□新闻发布会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   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□路演活动</w:t>
            </w:r>
          </w:p>
          <w:p w:rsidR="00560846" w:rsidRDefault="00C259C4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□现场参观</w:t>
            </w:r>
            <w:r>
              <w:rPr>
                <w:rFonts w:ascii="宋体" w:hAnsi="宋体"/>
                <w:bCs/>
                <w:iCs/>
                <w:color w:val="000000"/>
                <w:sz w:val="24"/>
              </w:rPr>
              <w:tab/>
            </w:r>
          </w:p>
          <w:p w:rsidR="00560846" w:rsidRDefault="00C259C4">
            <w:pPr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□其他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请文字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说明其他活动内容）</w:t>
            </w:r>
          </w:p>
        </w:tc>
      </w:tr>
      <w:tr w:rsidR="00560846">
        <w:trPr>
          <w:trHeight w:val="1000"/>
        </w:trPr>
        <w:tc>
          <w:tcPr>
            <w:tcW w:w="1899" w:type="dxa"/>
          </w:tcPr>
          <w:p w:rsidR="00560846" w:rsidRDefault="00C259C4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581" w:type="dxa"/>
            <w:vAlign w:val="center"/>
          </w:tcPr>
          <w:p w:rsidR="00560846" w:rsidRDefault="00C259C4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中金公司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廖明兵</w:t>
            </w:r>
          </w:p>
          <w:p w:rsidR="00560846" w:rsidRDefault="00C259C4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国金证券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孙鹏</w:t>
            </w:r>
          </w:p>
          <w:p w:rsidR="00560846" w:rsidRDefault="00C259C4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申银万国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李杨</w:t>
            </w:r>
          </w:p>
          <w:p w:rsidR="00560846" w:rsidRDefault="00C259C4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兴业证券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房大磊</w:t>
            </w:r>
          </w:p>
          <w:p w:rsidR="00560846" w:rsidRDefault="00C259C4">
            <w:pPr>
              <w:rPr>
                <w:rFonts w:ascii="宋体" w:hAnsi="宋体"/>
                <w:bCs/>
                <w:iCs/>
                <w:sz w:val="24"/>
              </w:rPr>
            </w:pPr>
            <w:r>
              <w:rPr>
                <w:rFonts w:ascii="宋体" w:hAnsi="宋体" w:hint="eastAsia"/>
                <w:bCs/>
                <w:iCs/>
                <w:sz w:val="24"/>
              </w:rPr>
              <w:t>海通证券</w:t>
            </w:r>
            <w:r>
              <w:rPr>
                <w:rFonts w:ascii="宋体" w:hAnsi="宋体" w:hint="eastAsia"/>
                <w:bCs/>
                <w:i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sz w:val="24"/>
              </w:rPr>
              <w:t>金川</w:t>
            </w:r>
          </w:p>
        </w:tc>
      </w:tr>
      <w:tr w:rsidR="00560846">
        <w:trPr>
          <w:trHeight w:val="487"/>
        </w:trPr>
        <w:tc>
          <w:tcPr>
            <w:tcW w:w="1899" w:type="dxa"/>
          </w:tcPr>
          <w:p w:rsidR="00560846" w:rsidRDefault="00C259C4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581" w:type="dxa"/>
          </w:tcPr>
          <w:p w:rsidR="00560846" w:rsidRDefault="00C259C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上午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：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00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~12:00</w:t>
            </w:r>
          </w:p>
        </w:tc>
      </w:tr>
      <w:tr w:rsidR="00560846">
        <w:trPr>
          <w:trHeight w:val="487"/>
        </w:trPr>
        <w:tc>
          <w:tcPr>
            <w:tcW w:w="1899" w:type="dxa"/>
          </w:tcPr>
          <w:p w:rsidR="00560846" w:rsidRDefault="00C259C4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581" w:type="dxa"/>
          </w:tcPr>
          <w:p w:rsidR="00560846" w:rsidRDefault="00C259C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武汉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汉口江岸区金桥大道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16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号（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炫维网络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家装电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商“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蘑菇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+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”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首家加盟商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--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武汉美颂雅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庭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体验店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）</w:t>
            </w:r>
          </w:p>
        </w:tc>
      </w:tr>
      <w:tr w:rsidR="00560846">
        <w:trPr>
          <w:trHeight w:val="1054"/>
        </w:trPr>
        <w:tc>
          <w:tcPr>
            <w:tcW w:w="1899" w:type="dxa"/>
          </w:tcPr>
          <w:p w:rsidR="00560846" w:rsidRDefault="00C259C4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上市公司接待</w:t>
            </w:r>
          </w:p>
          <w:p w:rsidR="00560846" w:rsidRDefault="00C259C4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人员姓名</w:t>
            </w:r>
          </w:p>
        </w:tc>
        <w:tc>
          <w:tcPr>
            <w:tcW w:w="6581" w:type="dxa"/>
          </w:tcPr>
          <w:p w:rsidR="00560846" w:rsidRDefault="00C259C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美颂雅庭集团</w:t>
            </w:r>
            <w:proofErr w:type="gramEnd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总裁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汪昌镇</w:t>
            </w:r>
            <w:proofErr w:type="gramEnd"/>
          </w:p>
          <w:p w:rsidR="00560846" w:rsidRDefault="00C259C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副总裁兼投资者关系总监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戴轶钧</w:t>
            </w:r>
          </w:p>
          <w:p w:rsidR="00560846" w:rsidRDefault="00C259C4">
            <w:pPr>
              <w:spacing w:line="480" w:lineRule="atLeast"/>
              <w:rPr>
                <w:rFonts w:ascii="宋体" w:hAnsi="宋体"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会议记录人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 xml:space="preserve">     </w:t>
            </w:r>
            <w:proofErr w:type="gramStart"/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徐丹露</w:t>
            </w:r>
            <w:proofErr w:type="gramEnd"/>
          </w:p>
        </w:tc>
      </w:tr>
      <w:tr w:rsidR="00560846">
        <w:trPr>
          <w:trHeight w:val="1054"/>
        </w:trPr>
        <w:tc>
          <w:tcPr>
            <w:tcW w:w="1899" w:type="dxa"/>
          </w:tcPr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C259C4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主要内容介绍</w:t>
            </w: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560846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  <w:p w:rsidR="00560846" w:rsidRDefault="00C259C4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投资者关系活动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主要内容介绍</w:t>
            </w:r>
          </w:p>
          <w:p w:rsidR="00560846" w:rsidRDefault="00560846">
            <w:pPr>
              <w:spacing w:line="480" w:lineRule="atLeast"/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6581" w:type="dxa"/>
          </w:tcPr>
          <w:p w:rsidR="00560846" w:rsidRDefault="00C259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proofErr w:type="gramStart"/>
            <w:r>
              <w:rPr>
                <w:rFonts w:hint="eastAsia"/>
                <w:sz w:val="24"/>
                <w:szCs w:val="24"/>
              </w:rPr>
              <w:t>美颂雅</w:t>
            </w:r>
            <w:proofErr w:type="gramEnd"/>
            <w:r>
              <w:rPr>
                <w:rFonts w:hint="eastAsia"/>
                <w:sz w:val="24"/>
                <w:szCs w:val="24"/>
              </w:rPr>
              <w:t>庭为何</w:t>
            </w:r>
            <w:r>
              <w:rPr>
                <w:rFonts w:hint="eastAsia"/>
                <w:sz w:val="24"/>
                <w:szCs w:val="24"/>
              </w:rPr>
              <w:t>选择加盟</w:t>
            </w:r>
            <w:proofErr w:type="gramStart"/>
            <w:r>
              <w:rPr>
                <w:rFonts w:hint="eastAsia"/>
                <w:sz w:val="24"/>
                <w:szCs w:val="24"/>
              </w:rPr>
              <w:t>炫</w:t>
            </w:r>
            <w:proofErr w:type="gramEnd"/>
            <w:r>
              <w:rPr>
                <w:rFonts w:hint="eastAsia"/>
                <w:sz w:val="24"/>
                <w:szCs w:val="24"/>
              </w:rPr>
              <w:t>维“</w:t>
            </w:r>
            <w:r>
              <w:rPr>
                <w:rFonts w:hint="eastAsia"/>
                <w:sz w:val="24"/>
                <w:szCs w:val="24"/>
              </w:rPr>
              <w:t>蘑菇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”和</w:t>
            </w:r>
            <w:r>
              <w:rPr>
                <w:rFonts w:hint="eastAsia"/>
                <w:sz w:val="24"/>
                <w:szCs w:val="24"/>
              </w:rPr>
              <w:t>引进国际化设计</w:t>
            </w:r>
            <w:r>
              <w:rPr>
                <w:rFonts w:hint="eastAsia"/>
                <w:sz w:val="24"/>
                <w:szCs w:val="24"/>
              </w:rPr>
              <w:t>工作室</w:t>
            </w:r>
            <w:r>
              <w:rPr>
                <w:rFonts w:hint="eastAsia"/>
                <w:sz w:val="24"/>
                <w:szCs w:val="24"/>
              </w:rPr>
              <w:t>？</w:t>
            </w:r>
          </w:p>
          <w:p w:rsidR="00560846" w:rsidRDefault="00C259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答：目前传统的家装业务</w:t>
            </w:r>
            <w:r>
              <w:rPr>
                <w:rFonts w:hint="eastAsia"/>
                <w:sz w:val="24"/>
                <w:szCs w:val="24"/>
              </w:rPr>
              <w:t>已经遇到了很多</w:t>
            </w:r>
            <w:r>
              <w:rPr>
                <w:rFonts w:hint="eastAsia"/>
                <w:sz w:val="24"/>
                <w:szCs w:val="24"/>
              </w:rPr>
              <w:t>瓶颈，需要寻求新方式，突破创新。因此，</w:t>
            </w:r>
            <w:r>
              <w:rPr>
                <w:rFonts w:hint="eastAsia"/>
                <w:sz w:val="24"/>
                <w:szCs w:val="24"/>
              </w:rPr>
              <w:t>首先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>用户群</w:t>
            </w:r>
            <w:r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>数</w:t>
            </w:r>
            <w:r>
              <w:rPr>
                <w:rFonts w:hint="eastAsia"/>
                <w:sz w:val="24"/>
                <w:szCs w:val="24"/>
              </w:rPr>
              <w:t>量最大的大众消费端</w:t>
            </w:r>
            <w:r>
              <w:rPr>
                <w:rFonts w:hint="eastAsia"/>
                <w:sz w:val="24"/>
                <w:szCs w:val="24"/>
              </w:rPr>
              <w:t>，我们</w:t>
            </w:r>
            <w:r>
              <w:rPr>
                <w:rFonts w:hint="eastAsia"/>
                <w:sz w:val="24"/>
                <w:szCs w:val="24"/>
              </w:rPr>
              <w:t>采用蘑菇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的方式，用标准化但兼顾个性化的方式来做；</w:t>
            </w:r>
            <w:r>
              <w:rPr>
                <w:rFonts w:hint="eastAsia"/>
                <w:sz w:val="24"/>
                <w:szCs w:val="24"/>
              </w:rPr>
              <w:t>其次，</w:t>
            </w:r>
            <w:r>
              <w:rPr>
                <w:rFonts w:hint="eastAsia"/>
                <w:sz w:val="24"/>
                <w:szCs w:val="24"/>
              </w:rPr>
              <w:t>在大户豪宅等高端需求端，</w:t>
            </w:r>
            <w:proofErr w:type="gramStart"/>
            <w:r>
              <w:rPr>
                <w:rFonts w:hint="eastAsia"/>
                <w:sz w:val="24"/>
                <w:szCs w:val="24"/>
              </w:rPr>
              <w:t>美颂雅</w:t>
            </w:r>
            <w:proofErr w:type="gramEnd"/>
            <w:r>
              <w:rPr>
                <w:rFonts w:hint="eastAsia"/>
                <w:sz w:val="24"/>
                <w:szCs w:val="24"/>
              </w:rPr>
              <w:t>庭</w:t>
            </w:r>
            <w:r>
              <w:rPr>
                <w:rFonts w:hint="eastAsia"/>
                <w:sz w:val="24"/>
                <w:szCs w:val="24"/>
              </w:rPr>
              <w:t>则</w:t>
            </w:r>
            <w:r>
              <w:rPr>
                <w:rFonts w:hint="eastAsia"/>
                <w:sz w:val="24"/>
                <w:szCs w:val="24"/>
              </w:rPr>
              <w:t>通过</w:t>
            </w:r>
            <w:r>
              <w:rPr>
                <w:rFonts w:hint="eastAsia"/>
                <w:sz w:val="24"/>
                <w:szCs w:val="24"/>
              </w:rPr>
              <w:t>引入国际化设计</w:t>
            </w:r>
            <w:r>
              <w:rPr>
                <w:rFonts w:hint="eastAsia"/>
                <w:sz w:val="24"/>
                <w:szCs w:val="24"/>
              </w:rPr>
              <w:t>工作室</w:t>
            </w:r>
            <w:r>
              <w:rPr>
                <w:rFonts w:hint="eastAsia"/>
                <w:sz w:val="24"/>
                <w:szCs w:val="24"/>
              </w:rPr>
              <w:t>，打造国际</w:t>
            </w:r>
            <w:r>
              <w:rPr>
                <w:rFonts w:hint="eastAsia"/>
                <w:sz w:val="24"/>
                <w:szCs w:val="24"/>
              </w:rPr>
              <w:t>水准的</w:t>
            </w:r>
            <w:r>
              <w:rPr>
                <w:rFonts w:hint="eastAsia"/>
                <w:sz w:val="24"/>
                <w:szCs w:val="24"/>
              </w:rPr>
              <w:t>精品豪宅</w:t>
            </w:r>
            <w:r>
              <w:rPr>
                <w:rFonts w:hint="eastAsia"/>
                <w:sz w:val="24"/>
                <w:szCs w:val="24"/>
              </w:rPr>
              <w:t>产品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560846" w:rsidRDefault="00C259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、如何保证客户能够真正享受到家装套餐？</w:t>
            </w:r>
          </w:p>
          <w:p w:rsidR="00560846" w:rsidRDefault="00C259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答：蘑菇</w:t>
            </w:r>
            <w:r>
              <w:rPr>
                <w:rFonts w:hint="eastAsia"/>
                <w:sz w:val="24"/>
                <w:szCs w:val="24"/>
              </w:rPr>
              <w:t>+</w:t>
            </w:r>
            <w:r>
              <w:rPr>
                <w:rFonts w:hint="eastAsia"/>
                <w:sz w:val="24"/>
                <w:szCs w:val="24"/>
              </w:rPr>
              <w:t>最大的特点</w:t>
            </w:r>
            <w:r>
              <w:rPr>
                <w:rFonts w:hint="eastAsia"/>
                <w:sz w:val="24"/>
                <w:szCs w:val="24"/>
              </w:rPr>
              <w:t>和产品特性</w:t>
            </w:r>
            <w:r>
              <w:rPr>
                <w:rFonts w:hint="eastAsia"/>
                <w:sz w:val="24"/>
                <w:szCs w:val="24"/>
              </w:rPr>
              <w:t>就是“所见即所得”，通过</w:t>
            </w:r>
            <w:proofErr w:type="gramStart"/>
            <w:r>
              <w:rPr>
                <w:rFonts w:hint="eastAsia"/>
                <w:sz w:val="24"/>
                <w:szCs w:val="24"/>
              </w:rPr>
              <w:t>炫维独</w:t>
            </w:r>
            <w:proofErr w:type="gramEnd"/>
            <w:r>
              <w:rPr>
                <w:rFonts w:hint="eastAsia"/>
                <w:sz w:val="24"/>
                <w:szCs w:val="24"/>
              </w:rPr>
              <w:t>一无二的</w:t>
            </w:r>
            <w:r>
              <w:rPr>
                <w:rFonts w:hint="eastAsia"/>
                <w:sz w:val="24"/>
                <w:szCs w:val="24"/>
              </w:rPr>
              <w:t>四维</w:t>
            </w:r>
            <w:r>
              <w:rPr>
                <w:rFonts w:hint="eastAsia"/>
                <w:sz w:val="24"/>
                <w:szCs w:val="24"/>
              </w:rPr>
              <w:t>体验软件，将客户中意的每个设计细节，每道施工工艺以及每个产品价格一目了然</w:t>
            </w:r>
            <w:r>
              <w:rPr>
                <w:rFonts w:hint="eastAsia"/>
                <w:sz w:val="24"/>
                <w:szCs w:val="24"/>
              </w:rPr>
              <w:t>、清晰</w:t>
            </w:r>
            <w:r>
              <w:rPr>
                <w:rFonts w:hint="eastAsia"/>
                <w:sz w:val="24"/>
                <w:szCs w:val="24"/>
              </w:rPr>
              <w:t>地呈现出来</w:t>
            </w:r>
            <w:r>
              <w:rPr>
                <w:rFonts w:hint="eastAsia"/>
                <w:sz w:val="24"/>
                <w:szCs w:val="24"/>
              </w:rPr>
              <w:t>，体验环节</w:t>
            </w:r>
            <w:r>
              <w:rPr>
                <w:rFonts w:hint="eastAsia"/>
                <w:sz w:val="24"/>
                <w:szCs w:val="24"/>
              </w:rPr>
              <w:t>追求“极致”，</w:t>
            </w:r>
            <w:r>
              <w:rPr>
                <w:rFonts w:hint="eastAsia"/>
                <w:sz w:val="24"/>
                <w:szCs w:val="24"/>
              </w:rPr>
              <w:t>让客户享受从涉及到主材</w:t>
            </w:r>
            <w:proofErr w:type="gramStart"/>
            <w:r>
              <w:rPr>
                <w:rFonts w:hint="eastAsia"/>
                <w:sz w:val="24"/>
                <w:szCs w:val="24"/>
              </w:rPr>
              <w:t>到软装的</w:t>
            </w:r>
            <w:proofErr w:type="gramEnd"/>
            <w:r>
              <w:rPr>
                <w:rFonts w:hint="eastAsia"/>
                <w:sz w:val="24"/>
                <w:szCs w:val="24"/>
              </w:rPr>
              <w:t>整体一站式集成服务，真正做到“体验不止体验，所见即为所得”。另外，</w:t>
            </w:r>
            <w:proofErr w:type="gramStart"/>
            <w:r>
              <w:rPr>
                <w:rFonts w:hint="eastAsia"/>
                <w:sz w:val="24"/>
                <w:szCs w:val="24"/>
              </w:rPr>
              <w:t>美颂雅</w:t>
            </w:r>
            <w:proofErr w:type="gramEnd"/>
            <w:r>
              <w:rPr>
                <w:rFonts w:hint="eastAsia"/>
                <w:sz w:val="24"/>
                <w:szCs w:val="24"/>
              </w:rPr>
              <w:t>庭还和汉口银行合作，为客户带来了联名卡，为客户提供“装修易贷”的</w:t>
            </w:r>
            <w:r>
              <w:rPr>
                <w:rFonts w:hint="eastAsia"/>
                <w:sz w:val="24"/>
                <w:szCs w:val="24"/>
              </w:rPr>
              <w:t>金融支持</w:t>
            </w:r>
            <w:r>
              <w:rPr>
                <w:rFonts w:hint="eastAsia"/>
                <w:sz w:val="24"/>
                <w:szCs w:val="24"/>
              </w:rPr>
              <w:t>服务。</w:t>
            </w:r>
          </w:p>
          <w:p w:rsidR="00560846" w:rsidRDefault="00C259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、以上提到的“装修易贷”</w:t>
            </w:r>
            <w:r>
              <w:rPr>
                <w:rFonts w:hint="eastAsia"/>
                <w:sz w:val="24"/>
                <w:szCs w:val="24"/>
              </w:rPr>
              <w:t>金融产品</w:t>
            </w:r>
            <w:r>
              <w:rPr>
                <w:rFonts w:hint="eastAsia"/>
                <w:sz w:val="24"/>
                <w:szCs w:val="24"/>
              </w:rPr>
              <w:t>，具体是如何呈现？</w:t>
            </w:r>
          </w:p>
          <w:p w:rsidR="00560846" w:rsidRDefault="00C259C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答：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美颂雅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庭和汉口银行推出的联名装修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易贷卡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将根据客户装修的房子大小和装修情况来批准的，以每平米</w:t>
            </w:r>
            <w:r>
              <w:rPr>
                <w:rFonts w:hint="eastAsia"/>
                <w:color w:val="000000"/>
                <w:sz w:val="24"/>
                <w:szCs w:val="24"/>
              </w:rPr>
              <w:t>2000</w:t>
            </w:r>
            <w:r>
              <w:rPr>
                <w:rFonts w:hint="eastAsia"/>
                <w:color w:val="000000"/>
                <w:sz w:val="24"/>
                <w:szCs w:val="24"/>
              </w:rPr>
              <w:t>元的装修基金额度为参照，每户可以拿到几万到</w:t>
            </w: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  <w:r>
              <w:rPr>
                <w:rFonts w:hint="eastAsia"/>
                <w:color w:val="000000"/>
                <w:sz w:val="24"/>
                <w:szCs w:val="24"/>
              </w:rPr>
              <w:t>万不等的装修额度</w:t>
            </w:r>
            <w:r>
              <w:rPr>
                <w:rFonts w:hint="eastAsia"/>
                <w:color w:val="000000"/>
                <w:sz w:val="24"/>
                <w:szCs w:val="24"/>
              </w:rPr>
              <w:lastRenderedPageBreak/>
              <w:t>贷款卡。使用期限可以从</w:t>
            </w: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年到</w:t>
            </w: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r>
              <w:rPr>
                <w:rFonts w:hint="eastAsia"/>
                <w:color w:val="000000"/>
                <w:sz w:val="24"/>
                <w:szCs w:val="24"/>
              </w:rPr>
              <w:t>年，零手续费，首年免息，方便便捷，只需要在合同期限内还清利息和本金就够了。</w:t>
            </w:r>
            <w:r>
              <w:rPr>
                <w:rFonts w:hint="eastAsia"/>
                <w:color w:val="000000"/>
                <w:sz w:val="24"/>
                <w:szCs w:val="24"/>
              </w:rPr>
              <w:t>未来</w:t>
            </w:r>
            <w:r>
              <w:rPr>
                <w:rFonts w:hint="eastAsia"/>
                <w:color w:val="000000"/>
                <w:sz w:val="24"/>
                <w:szCs w:val="24"/>
              </w:rPr>
              <w:t>，“蘑菇</w:t>
            </w:r>
            <w:r>
              <w:rPr>
                <w:rFonts w:hint="eastAsia"/>
                <w:color w:val="000000"/>
                <w:sz w:val="24"/>
                <w:szCs w:val="24"/>
              </w:rPr>
              <w:t>+</w:t>
            </w:r>
            <w:r>
              <w:rPr>
                <w:rFonts w:hint="eastAsia"/>
                <w:color w:val="000000"/>
                <w:sz w:val="24"/>
                <w:szCs w:val="24"/>
              </w:rPr>
              <w:t>”每进驻一个城市时，都会和当地的金融机构</w:t>
            </w:r>
            <w:r>
              <w:rPr>
                <w:rFonts w:hint="eastAsia"/>
                <w:color w:val="000000"/>
                <w:sz w:val="24"/>
                <w:szCs w:val="24"/>
              </w:rPr>
              <w:t>联手推出类似的金融产品，为“蘑菇</w:t>
            </w:r>
            <w:r>
              <w:rPr>
                <w:rFonts w:hint="eastAsia"/>
                <w:color w:val="000000"/>
                <w:sz w:val="24"/>
                <w:szCs w:val="24"/>
              </w:rPr>
              <w:t>+</w:t>
            </w:r>
            <w:r>
              <w:rPr>
                <w:rFonts w:hint="eastAsia"/>
                <w:color w:val="000000"/>
                <w:sz w:val="24"/>
                <w:szCs w:val="24"/>
              </w:rPr>
              <w:t>”</w:t>
            </w:r>
            <w:r>
              <w:rPr>
                <w:rFonts w:hint="eastAsia"/>
                <w:color w:val="000000"/>
                <w:sz w:val="24"/>
                <w:szCs w:val="24"/>
              </w:rPr>
              <w:t>的客户全方位服务。</w:t>
            </w:r>
          </w:p>
          <w:p w:rsidR="00560846" w:rsidRDefault="00C259C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  <w:r>
              <w:rPr>
                <w:rFonts w:hint="eastAsia"/>
                <w:color w:val="000000"/>
                <w:sz w:val="24"/>
                <w:szCs w:val="24"/>
              </w:rPr>
              <w:t>、供应链体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系如何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建立？</w:t>
            </w:r>
          </w:p>
          <w:p w:rsidR="00560846" w:rsidRDefault="00C259C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答：</w:t>
            </w:r>
            <w:r>
              <w:rPr>
                <w:rFonts w:hint="eastAsia"/>
                <w:color w:val="000000"/>
                <w:sz w:val="24"/>
                <w:szCs w:val="24"/>
              </w:rPr>
              <w:t>“蘑菇</w:t>
            </w:r>
            <w:r>
              <w:rPr>
                <w:rFonts w:hint="eastAsia"/>
                <w:color w:val="000000"/>
                <w:sz w:val="24"/>
                <w:szCs w:val="24"/>
              </w:rPr>
              <w:t>+</w:t>
            </w:r>
            <w:r>
              <w:rPr>
                <w:rFonts w:hint="eastAsia"/>
                <w:color w:val="000000"/>
                <w:sz w:val="24"/>
                <w:szCs w:val="24"/>
              </w:rPr>
              <w:t>”</w:t>
            </w:r>
            <w:r>
              <w:rPr>
                <w:rFonts w:hint="eastAsia"/>
                <w:color w:val="000000"/>
                <w:sz w:val="24"/>
                <w:szCs w:val="24"/>
              </w:rPr>
              <w:t>将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借助亚厦的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集采平台，采用中央厨房式的集采</w:t>
            </w:r>
            <w:r>
              <w:rPr>
                <w:rFonts w:hint="eastAsia"/>
                <w:color w:val="000000"/>
                <w:sz w:val="24"/>
                <w:szCs w:val="24"/>
              </w:rPr>
              <w:t>、配送</w:t>
            </w:r>
            <w:r>
              <w:rPr>
                <w:rFonts w:hint="eastAsia"/>
                <w:color w:val="000000"/>
                <w:sz w:val="24"/>
                <w:szCs w:val="24"/>
              </w:rPr>
              <w:t>方式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</w:rPr>
              <w:t>建立从区域仓储中心</w:t>
            </w:r>
            <w:r>
              <w:rPr>
                <w:rFonts w:hint="eastAsia"/>
                <w:color w:val="000000"/>
                <w:sz w:val="24"/>
                <w:szCs w:val="24"/>
              </w:rPr>
              <w:t>+</w:t>
            </w:r>
            <w:r>
              <w:rPr>
                <w:rFonts w:hint="eastAsia"/>
                <w:color w:val="000000"/>
                <w:sz w:val="24"/>
                <w:szCs w:val="24"/>
              </w:rPr>
              <w:t>最后一公里配送的体系，</w:t>
            </w:r>
            <w:r>
              <w:rPr>
                <w:rFonts w:hint="eastAsia"/>
                <w:color w:val="000000"/>
                <w:sz w:val="24"/>
                <w:szCs w:val="24"/>
              </w:rPr>
              <w:t>彻底</w:t>
            </w:r>
            <w:r>
              <w:rPr>
                <w:rFonts w:hint="eastAsia"/>
                <w:color w:val="000000"/>
                <w:sz w:val="24"/>
                <w:szCs w:val="24"/>
              </w:rPr>
              <w:t>实现“</w:t>
            </w:r>
            <w:r>
              <w:rPr>
                <w:rFonts w:hint="eastAsia"/>
                <w:color w:val="000000"/>
                <w:sz w:val="24"/>
                <w:szCs w:val="24"/>
              </w:rPr>
              <w:t>F 2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>”</w:t>
            </w:r>
            <w:r>
              <w:rPr>
                <w:rFonts w:hint="eastAsia"/>
                <w:color w:val="000000"/>
                <w:sz w:val="24"/>
                <w:szCs w:val="24"/>
              </w:rPr>
              <w:t>，减少中间环节，为客户省钱。同时，</w:t>
            </w:r>
            <w:r>
              <w:rPr>
                <w:rFonts w:hint="eastAsia"/>
                <w:color w:val="000000"/>
                <w:sz w:val="24"/>
                <w:szCs w:val="24"/>
              </w:rPr>
              <w:t>考虑到</w:t>
            </w:r>
            <w:r>
              <w:rPr>
                <w:rFonts w:hint="eastAsia"/>
                <w:color w:val="000000"/>
                <w:sz w:val="24"/>
                <w:szCs w:val="24"/>
              </w:rPr>
              <w:t>中国地域差别很大，</w:t>
            </w:r>
            <w:r>
              <w:rPr>
                <w:rFonts w:hint="eastAsia"/>
                <w:color w:val="000000"/>
                <w:sz w:val="24"/>
                <w:szCs w:val="24"/>
              </w:rPr>
              <w:t>为了兼顾</w:t>
            </w:r>
            <w:r>
              <w:rPr>
                <w:rFonts w:hint="eastAsia"/>
                <w:color w:val="000000"/>
                <w:sz w:val="24"/>
                <w:szCs w:val="24"/>
              </w:rPr>
              <w:t>各个区域的独特性，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亚厦在集采系统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中，也会适量加入各区域特点</w:t>
            </w:r>
            <w:r>
              <w:rPr>
                <w:rFonts w:hint="eastAsia"/>
                <w:color w:val="000000"/>
                <w:sz w:val="24"/>
                <w:szCs w:val="24"/>
              </w:rPr>
              <w:t>和差异性</w:t>
            </w:r>
            <w:r>
              <w:rPr>
                <w:rFonts w:hint="eastAsia"/>
                <w:color w:val="000000"/>
                <w:sz w:val="24"/>
                <w:szCs w:val="24"/>
              </w:rPr>
              <w:t>。</w:t>
            </w:r>
          </w:p>
          <w:p w:rsidR="00560846" w:rsidRDefault="00C259C4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  <w:r>
              <w:rPr>
                <w:rFonts w:hint="eastAsia"/>
                <w:color w:val="000000"/>
                <w:sz w:val="24"/>
                <w:szCs w:val="24"/>
              </w:rPr>
              <w:t>、如何看待地产下滑带来的影响？</w:t>
            </w:r>
          </w:p>
          <w:p w:rsidR="00560846" w:rsidRDefault="00C259C4">
            <w:pPr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答：中国地产体量非常大，每年</w:t>
            </w:r>
            <w:r>
              <w:rPr>
                <w:rFonts w:hint="eastAsia"/>
                <w:color w:val="000000"/>
                <w:sz w:val="24"/>
                <w:szCs w:val="24"/>
              </w:rPr>
              <w:t>700</w:t>
            </w:r>
            <w:r>
              <w:rPr>
                <w:rFonts w:hint="eastAsia"/>
                <w:color w:val="000000"/>
                <w:sz w:val="24"/>
                <w:szCs w:val="24"/>
              </w:rPr>
              <w:t>万套新增住房，其中只有</w:t>
            </w:r>
            <w:r>
              <w:rPr>
                <w:rFonts w:hint="eastAsia"/>
                <w:color w:val="000000"/>
                <w:sz w:val="24"/>
                <w:szCs w:val="24"/>
              </w:rPr>
              <w:t>10%</w:t>
            </w:r>
            <w:r>
              <w:rPr>
                <w:rFonts w:hint="eastAsia"/>
                <w:color w:val="000000"/>
                <w:sz w:val="24"/>
                <w:szCs w:val="24"/>
              </w:rPr>
              <w:t>是精装修房，剩余</w:t>
            </w:r>
            <w:r>
              <w:rPr>
                <w:rFonts w:hint="eastAsia"/>
                <w:color w:val="000000"/>
                <w:sz w:val="24"/>
                <w:szCs w:val="24"/>
              </w:rPr>
              <w:t>90%</w:t>
            </w:r>
            <w:r>
              <w:rPr>
                <w:rFonts w:hint="eastAsia"/>
                <w:color w:val="000000"/>
                <w:sz w:val="24"/>
                <w:szCs w:val="24"/>
              </w:rPr>
              <w:t>体量都是毛坯房。而</w:t>
            </w:r>
            <w:r>
              <w:rPr>
                <w:rFonts w:hint="eastAsia"/>
                <w:color w:val="000000"/>
                <w:sz w:val="24"/>
                <w:szCs w:val="24"/>
              </w:rPr>
              <w:t>传</w:t>
            </w:r>
            <w:r>
              <w:rPr>
                <w:rFonts w:hint="eastAsia"/>
                <w:color w:val="000000"/>
                <w:sz w:val="24"/>
                <w:szCs w:val="24"/>
              </w:rPr>
              <w:t>统家装公司在地产市场的占有率其实并不高，地产下滑对家装业务影响并不大。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美颂雅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庭目前已</w:t>
            </w:r>
            <w:r>
              <w:rPr>
                <w:rFonts w:hint="eastAsia"/>
                <w:color w:val="000000"/>
                <w:sz w:val="24"/>
                <w:szCs w:val="24"/>
              </w:rPr>
              <w:t>经</w:t>
            </w:r>
            <w:r>
              <w:rPr>
                <w:rFonts w:hint="eastAsia"/>
                <w:color w:val="000000"/>
                <w:sz w:val="24"/>
                <w:szCs w:val="24"/>
              </w:rPr>
              <w:t>签订</w:t>
            </w:r>
            <w:r>
              <w:rPr>
                <w:rFonts w:hint="eastAsia"/>
                <w:color w:val="000000"/>
                <w:sz w:val="24"/>
                <w:szCs w:val="24"/>
              </w:rPr>
              <w:t>了一批武汉的新楼盘，</w:t>
            </w:r>
            <w:r>
              <w:rPr>
                <w:rFonts w:hint="eastAsia"/>
                <w:color w:val="000000"/>
                <w:sz w:val="24"/>
                <w:szCs w:val="24"/>
              </w:rPr>
              <w:t>明年</w:t>
            </w:r>
            <w:r>
              <w:rPr>
                <w:rFonts w:hint="eastAsia"/>
                <w:color w:val="000000"/>
                <w:sz w:val="24"/>
                <w:szCs w:val="24"/>
              </w:rPr>
              <w:t>将</w:t>
            </w:r>
            <w:r>
              <w:rPr>
                <w:rFonts w:hint="eastAsia"/>
                <w:color w:val="000000"/>
                <w:sz w:val="24"/>
                <w:szCs w:val="24"/>
              </w:rPr>
              <w:t>进驻</w:t>
            </w: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  <w:r>
              <w:rPr>
                <w:rFonts w:hint="eastAsia"/>
                <w:color w:val="000000"/>
                <w:sz w:val="24"/>
                <w:szCs w:val="24"/>
              </w:rPr>
              <w:t>个新竣工楼盘。</w:t>
            </w:r>
          </w:p>
        </w:tc>
      </w:tr>
      <w:tr w:rsidR="00560846">
        <w:trPr>
          <w:trHeight w:val="631"/>
        </w:trPr>
        <w:tc>
          <w:tcPr>
            <w:tcW w:w="1899" w:type="dxa"/>
          </w:tcPr>
          <w:p w:rsidR="00560846" w:rsidRDefault="00C259C4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581" w:type="dxa"/>
          </w:tcPr>
          <w:p w:rsidR="00560846" w:rsidRDefault="00C259C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无</w:t>
            </w:r>
          </w:p>
        </w:tc>
      </w:tr>
      <w:tr w:rsidR="00560846">
        <w:trPr>
          <w:trHeight w:val="413"/>
        </w:trPr>
        <w:tc>
          <w:tcPr>
            <w:tcW w:w="1899" w:type="dxa"/>
          </w:tcPr>
          <w:p w:rsidR="00560846" w:rsidRDefault="00C259C4">
            <w:pPr>
              <w:jc w:val="center"/>
              <w:rPr>
                <w:rFonts w:ascii="宋体" w:hAnsi="宋体"/>
                <w:b/>
                <w:bCs/>
                <w:i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581" w:type="dxa"/>
          </w:tcPr>
          <w:p w:rsidR="00560846" w:rsidRDefault="00C259C4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2014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年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12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月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28</w:t>
            </w:r>
            <w:r>
              <w:rPr>
                <w:rFonts w:ascii="宋体" w:hAnsi="宋体" w:hint="eastAsia"/>
                <w:bCs/>
                <w:iCs/>
                <w:color w:val="000000"/>
                <w:sz w:val="24"/>
              </w:rPr>
              <w:t>日</w:t>
            </w:r>
          </w:p>
        </w:tc>
      </w:tr>
    </w:tbl>
    <w:p w:rsidR="00560846" w:rsidRDefault="00560846">
      <w:bookmarkStart w:id="0" w:name="_GoBack"/>
      <w:bookmarkEnd w:id="0"/>
    </w:p>
    <w:sectPr w:rsidR="00560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C26"/>
    <w:rsid w:val="00560846"/>
    <w:rsid w:val="006E7C26"/>
    <w:rsid w:val="00AB05E9"/>
    <w:rsid w:val="00C259C4"/>
    <w:rsid w:val="00FD7530"/>
    <w:rsid w:val="73B3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1174</Characters>
  <Application>Microsoft Office Word</Application>
  <DocSecurity>0</DocSecurity>
  <Lines>9</Lines>
  <Paragraphs>2</Paragraphs>
  <ScaleCrop>false</ScaleCrop>
  <Company>Microsoft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证券代码：002375                        证券简称：亚厦股份</dc:title>
  <dc:creator>12313131</dc:creator>
  <cp:lastModifiedBy>12313131</cp:lastModifiedBy>
  <cp:revision>1</cp:revision>
  <dcterms:created xsi:type="dcterms:W3CDTF">2014-12-30T00:57:00Z</dcterms:created>
  <dcterms:modified xsi:type="dcterms:W3CDTF">2014-12-30T02:06:00Z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