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F7" w:rsidRDefault="00251BF7" w:rsidP="00032E38">
      <w:pPr>
        <w:spacing w:beforeLines="50" w:afterLines="50" w:line="400" w:lineRule="exact"/>
        <w:ind w:firstLineChars="300" w:firstLine="720"/>
        <w:rPr>
          <w:rFonts w:ascii="宋体"/>
          <w:bCs/>
          <w:iCs/>
          <w:sz w:val="24"/>
        </w:rPr>
      </w:pPr>
      <w:r w:rsidRPr="00815F60">
        <w:rPr>
          <w:rFonts w:ascii="宋体" w:hAnsi="宋体" w:hint="eastAsia"/>
          <w:bCs/>
          <w:iCs/>
          <w:sz w:val="24"/>
        </w:rPr>
        <w:t>证券代码：</w:t>
      </w:r>
      <w:r w:rsidRPr="00815F60">
        <w:rPr>
          <w:rFonts w:ascii="宋体" w:hAnsi="宋体"/>
          <w:bCs/>
          <w:iCs/>
          <w:sz w:val="24"/>
        </w:rPr>
        <w:t xml:space="preserve">    002244                  </w:t>
      </w:r>
      <w:r w:rsidRPr="00815F60">
        <w:rPr>
          <w:rFonts w:ascii="宋体" w:hAnsi="宋体" w:hint="eastAsia"/>
          <w:bCs/>
          <w:iCs/>
          <w:sz w:val="24"/>
        </w:rPr>
        <w:t>证券简称：滨江集团</w:t>
      </w:r>
    </w:p>
    <w:p w:rsidR="00251BF7" w:rsidRDefault="00251BF7" w:rsidP="00032E38">
      <w:pPr>
        <w:spacing w:beforeLines="50" w:afterLines="50" w:line="400" w:lineRule="exact"/>
        <w:jc w:val="center"/>
        <w:rPr>
          <w:rFonts w:ascii="宋体"/>
          <w:b/>
          <w:bCs/>
          <w:iCs/>
          <w:sz w:val="24"/>
          <w:szCs w:val="24"/>
        </w:rPr>
      </w:pPr>
      <w:r w:rsidRPr="00815F60">
        <w:rPr>
          <w:rFonts w:ascii="宋体" w:hAnsi="宋体" w:hint="eastAsia"/>
          <w:b/>
          <w:bCs/>
          <w:iCs/>
          <w:sz w:val="24"/>
          <w:szCs w:val="24"/>
        </w:rPr>
        <w:t>杭州滨江房产集团股份有限公司投资者关系活动记录表</w:t>
      </w:r>
    </w:p>
    <w:p w:rsidR="00251BF7" w:rsidRDefault="00251BF7">
      <w:pPr>
        <w:spacing w:line="400" w:lineRule="exact"/>
        <w:rPr>
          <w:rFonts w:ascii="宋体"/>
          <w:bCs/>
          <w:iCs/>
          <w:sz w:val="24"/>
          <w:szCs w:val="24"/>
        </w:rPr>
      </w:pPr>
      <w:r w:rsidRPr="00815F60">
        <w:rPr>
          <w:rFonts w:ascii="宋体" w:hAnsi="宋体"/>
          <w:bCs/>
          <w:iCs/>
          <w:sz w:val="24"/>
          <w:szCs w:val="24"/>
        </w:rPr>
        <w:t xml:space="preserve">                                                      </w:t>
      </w:r>
      <w:r w:rsidRPr="00815F60">
        <w:rPr>
          <w:rFonts w:ascii="宋体" w:hAnsi="宋体" w:hint="eastAsia"/>
          <w:bCs/>
          <w:iCs/>
          <w:sz w:val="24"/>
          <w:szCs w:val="24"/>
        </w:rPr>
        <w:t>编号：</w:t>
      </w:r>
      <w:r w:rsidRPr="00815F60">
        <w:rPr>
          <w:rFonts w:ascii="宋体" w:hAnsi="宋体"/>
          <w:bCs/>
          <w:iCs/>
          <w:sz w:val="24"/>
          <w:szCs w:val="24"/>
        </w:rPr>
        <w:t>201</w:t>
      </w:r>
      <w:r>
        <w:rPr>
          <w:rFonts w:ascii="宋体" w:hAnsi="宋体"/>
          <w:bCs/>
          <w:iCs/>
          <w:sz w:val="24"/>
          <w:szCs w:val="24"/>
        </w:rPr>
        <w:t>5</w:t>
      </w:r>
      <w:r w:rsidRPr="002E5D52">
        <w:rPr>
          <w:rFonts w:ascii="宋体"/>
          <w:bCs/>
          <w:iCs/>
          <w:sz w:val="24"/>
          <w:szCs w:val="24"/>
        </w:rPr>
        <w:t>0</w:t>
      </w:r>
      <w:r>
        <w:rPr>
          <w:rFonts w:ascii="宋体" w:hAnsi="宋体"/>
          <w:bCs/>
          <w:iCs/>
          <w:sz w:val="24"/>
          <w:szCs w:val="24"/>
        </w:rPr>
        <w:t>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6614"/>
      </w:tblGrid>
      <w:tr w:rsidR="00251BF7" w:rsidRPr="00E26561" w:rsidTr="006F444F">
        <w:tc>
          <w:tcPr>
            <w:tcW w:w="1908" w:type="dxa"/>
          </w:tcPr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投资者关系活动类别</w:t>
            </w:r>
          </w:p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</w:p>
        </w:tc>
        <w:tc>
          <w:tcPr>
            <w:tcW w:w="6614" w:type="dxa"/>
          </w:tcPr>
          <w:p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kern w:val="0"/>
                <w:sz w:val="28"/>
                <w:szCs w:val="28"/>
              </w:rPr>
              <w:t>√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特定对象调研</w:t>
            </w:r>
            <w:r w:rsidRPr="006F444F">
              <w:rPr>
                <w:rFonts w:ascii="宋体" w:hAnsi="宋体"/>
                <w:kern w:val="0"/>
                <w:sz w:val="24"/>
                <w:szCs w:val="24"/>
              </w:rPr>
              <w:t xml:space="preserve">        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分析师会议</w:t>
            </w:r>
          </w:p>
          <w:p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媒体采访</w:t>
            </w:r>
            <w:r w:rsidRPr="006F444F">
              <w:rPr>
                <w:rFonts w:ascii="宋体" w:hAnsi="宋体"/>
                <w:kern w:val="0"/>
                <w:sz w:val="24"/>
                <w:szCs w:val="24"/>
              </w:rPr>
              <w:t xml:space="preserve">            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业绩说明会</w:t>
            </w:r>
          </w:p>
          <w:p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新闻发布会</w:t>
            </w:r>
            <w:r w:rsidRPr="006F444F">
              <w:rPr>
                <w:rFonts w:ascii="宋体" w:hAnsi="宋体"/>
                <w:kern w:val="0"/>
                <w:sz w:val="24"/>
                <w:szCs w:val="24"/>
              </w:rPr>
              <w:t xml:space="preserve">          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路演活动</w:t>
            </w:r>
          </w:p>
          <w:p w:rsidR="00251BF7" w:rsidRDefault="00251BF7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现场参观</w:t>
            </w:r>
            <w:r w:rsidRPr="006F444F">
              <w:rPr>
                <w:rFonts w:ascii="宋体"/>
                <w:bCs/>
                <w:iCs/>
                <w:kern w:val="0"/>
                <w:sz w:val="24"/>
                <w:szCs w:val="24"/>
              </w:rPr>
              <w:tab/>
            </w:r>
          </w:p>
          <w:p w:rsidR="00251BF7" w:rsidRDefault="00251BF7">
            <w:pPr>
              <w:tabs>
                <w:tab w:val="center" w:pos="3199"/>
              </w:tabs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其他</w:t>
            </w:r>
            <w:r w:rsidRPr="006F444F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（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>请文字说明其他活动内容）</w:t>
            </w:r>
          </w:p>
        </w:tc>
      </w:tr>
      <w:tr w:rsidR="00251BF7" w:rsidRPr="00815F60" w:rsidTr="006F444F">
        <w:tc>
          <w:tcPr>
            <w:tcW w:w="1908" w:type="dxa"/>
          </w:tcPr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</w:tcPr>
          <w:p w:rsidR="00251BF7" w:rsidRPr="00A273DF" w:rsidRDefault="00251BF7" w:rsidP="00EA33DA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hint="eastAsia"/>
                <w:bCs/>
                <w:iCs/>
                <w:kern w:val="0"/>
                <w:sz w:val="24"/>
                <w:szCs w:val="24"/>
              </w:rPr>
              <w:t>中山证券有限责任公司</w:t>
            </w:r>
            <w:r>
              <w:rPr>
                <w:rFonts w:ascii="宋体"/>
                <w:bCs/>
                <w:i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bCs/>
                <w:iCs/>
                <w:kern w:val="0"/>
                <w:sz w:val="24"/>
                <w:szCs w:val="24"/>
              </w:rPr>
              <w:t>吴飞</w:t>
            </w:r>
            <w:r>
              <w:rPr>
                <w:rFonts w:ascii="宋体"/>
                <w:bCs/>
                <w:iCs/>
                <w:kern w:val="0"/>
                <w:sz w:val="24"/>
                <w:szCs w:val="24"/>
              </w:rPr>
              <w:t xml:space="preserve"> </w:t>
            </w:r>
          </w:p>
        </w:tc>
      </w:tr>
      <w:tr w:rsidR="00251BF7" w:rsidRPr="00815F60" w:rsidTr="006F444F">
        <w:tc>
          <w:tcPr>
            <w:tcW w:w="1908" w:type="dxa"/>
          </w:tcPr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时间</w:t>
            </w:r>
          </w:p>
        </w:tc>
        <w:tc>
          <w:tcPr>
            <w:tcW w:w="6614" w:type="dxa"/>
          </w:tcPr>
          <w:p w:rsidR="00251BF7" w:rsidRDefault="00251BF7" w:rsidP="00C8338F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15"/>
              </w:smartTagPr>
              <w:r w:rsidRPr="006F444F">
                <w:rPr>
                  <w:rFonts w:ascii="宋体" w:hAnsi="宋体"/>
                  <w:bCs/>
                  <w:iCs/>
                  <w:kern w:val="0"/>
                  <w:sz w:val="24"/>
                  <w:szCs w:val="24"/>
                </w:rPr>
                <w:t>201</w:t>
              </w:r>
              <w:r>
                <w:rPr>
                  <w:rFonts w:ascii="宋体" w:hAnsi="宋体"/>
                  <w:bCs/>
                  <w:iCs/>
                  <w:kern w:val="0"/>
                  <w:sz w:val="24"/>
                  <w:szCs w:val="24"/>
                </w:rPr>
                <w:t>5</w:t>
              </w:r>
              <w:r w:rsidRPr="006F444F">
                <w:rPr>
                  <w:rFonts w:ascii="宋体" w:hAnsi="宋体" w:hint="eastAsia"/>
                  <w:bCs/>
                  <w:iCs/>
                  <w:kern w:val="0"/>
                  <w:sz w:val="24"/>
                  <w:szCs w:val="24"/>
                </w:rPr>
                <w:t>年</w:t>
              </w:r>
              <w:r>
                <w:rPr>
                  <w:rFonts w:ascii="宋体" w:hAnsi="宋体"/>
                  <w:bCs/>
                  <w:iCs/>
                  <w:kern w:val="0"/>
                  <w:sz w:val="24"/>
                  <w:szCs w:val="24"/>
                </w:rPr>
                <w:t>1</w:t>
              </w:r>
              <w:r w:rsidRPr="006F444F">
                <w:rPr>
                  <w:rFonts w:ascii="宋体" w:hAnsi="宋体" w:hint="eastAsia"/>
                  <w:bCs/>
                  <w:iCs/>
                  <w:kern w:val="0"/>
                  <w:sz w:val="24"/>
                  <w:szCs w:val="24"/>
                </w:rPr>
                <w:t>月</w:t>
              </w:r>
              <w:r>
                <w:rPr>
                  <w:rFonts w:ascii="宋体" w:hAnsi="宋体"/>
                  <w:bCs/>
                  <w:iCs/>
                  <w:kern w:val="0"/>
                  <w:sz w:val="24"/>
                  <w:szCs w:val="24"/>
                </w:rPr>
                <w:t>7</w:t>
              </w:r>
              <w:r>
                <w:rPr>
                  <w:rFonts w:ascii="宋体" w:hAnsi="宋体" w:hint="eastAsia"/>
                  <w:bCs/>
                  <w:iCs/>
                  <w:kern w:val="0"/>
                  <w:sz w:val="24"/>
                  <w:szCs w:val="24"/>
                </w:rPr>
                <w:t>日</w:t>
              </w:r>
            </w:smartTag>
          </w:p>
        </w:tc>
      </w:tr>
      <w:tr w:rsidR="00251BF7" w:rsidRPr="00815F60" w:rsidTr="006F444F">
        <w:tc>
          <w:tcPr>
            <w:tcW w:w="1908" w:type="dxa"/>
          </w:tcPr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地点</w:t>
            </w:r>
          </w:p>
        </w:tc>
        <w:tc>
          <w:tcPr>
            <w:tcW w:w="6614" w:type="dxa"/>
          </w:tcPr>
          <w:p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公司会议室</w:t>
            </w:r>
          </w:p>
        </w:tc>
      </w:tr>
      <w:tr w:rsidR="00251BF7" w:rsidRPr="00815F60" w:rsidTr="006F444F">
        <w:tc>
          <w:tcPr>
            <w:tcW w:w="1908" w:type="dxa"/>
          </w:tcPr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</w:tcPr>
          <w:p w:rsidR="00251BF7" w:rsidRDefault="00251BF7" w:rsidP="00EA33DA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李耿瑾</w:t>
            </w:r>
          </w:p>
        </w:tc>
      </w:tr>
      <w:tr w:rsidR="00251BF7" w:rsidRPr="00815F60" w:rsidTr="006F444F">
        <w:trPr>
          <w:trHeight w:val="1757"/>
        </w:trPr>
        <w:tc>
          <w:tcPr>
            <w:tcW w:w="1908" w:type="dxa"/>
            <w:vAlign w:val="center"/>
          </w:tcPr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投资者关系活动主要内容介绍</w:t>
            </w:r>
          </w:p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</w:p>
        </w:tc>
        <w:tc>
          <w:tcPr>
            <w:tcW w:w="6614" w:type="dxa"/>
          </w:tcPr>
          <w:p w:rsidR="00251BF7" w:rsidRPr="00F50D00" w:rsidRDefault="00251BF7" w:rsidP="00014901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b/>
                <w:kern w:val="0"/>
                <w:sz w:val="24"/>
                <w:szCs w:val="24"/>
                <w:lang w:val="zh-CN"/>
              </w:rPr>
            </w:pPr>
            <w:r w:rsidRPr="00F50D00">
              <w:rPr>
                <w:rFonts w:ascii="宋体" w:hAnsi="宋体" w:cs="宋体"/>
                <w:b/>
                <w:kern w:val="0"/>
                <w:sz w:val="24"/>
                <w:szCs w:val="24"/>
                <w:lang w:val="zh-CN"/>
              </w:rPr>
              <w:t>1</w:t>
            </w:r>
            <w:r w:rsidRPr="00F50D00">
              <w:rPr>
                <w:rFonts w:ascii="宋体" w:hAnsi="宋体" w:cs="宋体" w:hint="eastAsia"/>
                <w:b/>
                <w:kern w:val="0"/>
                <w:sz w:val="24"/>
                <w:szCs w:val="24"/>
                <w:lang w:val="zh-CN"/>
              </w:rPr>
              <w:t>、杭州市场情况</w:t>
            </w:r>
          </w:p>
          <w:p w:rsidR="00251BF7" w:rsidRDefault="00251BF7" w:rsidP="009C69D3">
            <w:pPr>
              <w:autoSpaceDE w:val="0"/>
              <w:autoSpaceDN w:val="0"/>
              <w:adjustRightInd w:val="0"/>
              <w:spacing w:line="360" w:lineRule="auto"/>
              <w:ind w:firstLineChars="150" w:firstLine="36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szCs w:val="24"/>
                <w:lang w:val="zh-CN"/>
              </w:rPr>
              <w:t xml:space="preserve"> 2014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年杭州市场成交量同比</w:t>
            </w:r>
            <w:r>
              <w:rPr>
                <w:rFonts w:ascii="宋体" w:cs="宋体"/>
                <w:kern w:val="0"/>
                <w:sz w:val="24"/>
                <w:szCs w:val="24"/>
                <w:lang w:val="zh-CN"/>
              </w:rPr>
              <w:t>2013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年有所增长，位列近</w:t>
            </w:r>
            <w:r>
              <w:rPr>
                <w:rFonts w:ascii="宋体" w:cs="宋体"/>
                <w:kern w:val="0"/>
                <w:sz w:val="24"/>
                <w:szCs w:val="24"/>
                <w:lang w:val="zh-CN"/>
              </w:rPr>
              <w:t>7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年的第二位，成交价格方面，</w:t>
            </w:r>
            <w:r>
              <w:rPr>
                <w:rFonts w:ascii="宋体" w:cs="宋体"/>
                <w:kern w:val="0"/>
                <w:sz w:val="24"/>
                <w:szCs w:val="24"/>
                <w:lang w:val="zh-CN"/>
              </w:rPr>
              <w:t>2014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年同比</w:t>
            </w:r>
            <w:r>
              <w:rPr>
                <w:rFonts w:ascii="宋体" w:cs="宋体"/>
                <w:kern w:val="0"/>
                <w:sz w:val="24"/>
                <w:szCs w:val="24"/>
                <w:lang w:val="zh-CN"/>
              </w:rPr>
              <w:t>2013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年有所下降，总体上是以价换量的模式。</w:t>
            </w:r>
          </w:p>
          <w:p w:rsidR="00251BF7" w:rsidRDefault="00251BF7" w:rsidP="004D100C">
            <w:pPr>
              <w:autoSpaceDE w:val="0"/>
              <w:autoSpaceDN w:val="0"/>
              <w:adjustRightInd w:val="0"/>
              <w:spacing w:line="360" w:lineRule="auto"/>
              <w:ind w:firstLineChars="150" w:firstLine="36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  <w:p w:rsidR="00251BF7" w:rsidRPr="00F50D00" w:rsidRDefault="00251BF7" w:rsidP="00E26561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b/>
                <w:kern w:val="0"/>
                <w:sz w:val="24"/>
                <w:szCs w:val="24"/>
                <w:lang w:val="zh-CN"/>
              </w:rPr>
            </w:pPr>
            <w:r w:rsidRPr="00F50D00">
              <w:rPr>
                <w:rFonts w:ascii="宋体" w:hAnsi="宋体" w:cs="宋体"/>
                <w:b/>
                <w:kern w:val="0"/>
                <w:sz w:val="24"/>
                <w:szCs w:val="24"/>
                <w:lang w:val="zh-CN"/>
              </w:rPr>
              <w:t>2</w:t>
            </w:r>
            <w:r w:rsidRPr="00F50D00">
              <w:rPr>
                <w:rFonts w:ascii="宋体" w:hAnsi="宋体" w:cs="宋体" w:hint="eastAsia"/>
                <w:b/>
                <w:kern w:val="0"/>
                <w:sz w:val="24"/>
                <w:szCs w:val="24"/>
                <w:lang w:val="zh-CN"/>
              </w:rPr>
              <w:t>、公司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  <w:lang w:val="zh-CN"/>
              </w:rPr>
              <w:t>2014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  <w:lang w:val="zh-CN"/>
              </w:rPr>
              <w:t>年</w:t>
            </w:r>
            <w:r w:rsidRPr="00F50D00">
              <w:rPr>
                <w:rFonts w:ascii="宋体" w:hAnsi="宋体" w:cs="宋体" w:hint="eastAsia"/>
                <w:b/>
                <w:kern w:val="0"/>
                <w:sz w:val="24"/>
                <w:szCs w:val="24"/>
                <w:lang w:val="zh-CN"/>
              </w:rPr>
              <w:t>土地储备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  <w:lang w:val="zh-CN"/>
              </w:rPr>
              <w:t>情况</w:t>
            </w:r>
          </w:p>
          <w:p w:rsidR="00251BF7" w:rsidRDefault="00251BF7" w:rsidP="00E26561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 xml:space="preserve">   </w:t>
            </w:r>
            <w:r>
              <w:rPr>
                <w:rFonts w:ascii="宋体" w:cs="宋体"/>
                <w:kern w:val="0"/>
                <w:sz w:val="24"/>
                <w:szCs w:val="24"/>
                <w:lang w:val="zh-CN"/>
              </w:rPr>
              <w:t>2014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年公司新增一宗土地，平湖的万家花城项目，是一个合作项目，面积约</w:t>
            </w:r>
            <w:r>
              <w:rPr>
                <w:rFonts w:ascii="宋体" w:cs="宋体"/>
                <w:kern w:val="0"/>
                <w:sz w:val="24"/>
                <w:szCs w:val="24"/>
                <w:lang w:val="zh-CN"/>
              </w:rPr>
              <w:t>53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万方，公司持有项目</w:t>
            </w:r>
            <w:r>
              <w:rPr>
                <w:rFonts w:ascii="宋体" w:cs="宋体"/>
                <w:kern w:val="0"/>
                <w:sz w:val="24"/>
                <w:szCs w:val="24"/>
                <w:lang w:val="zh-CN"/>
              </w:rPr>
              <w:t>35.1%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的股权。</w:t>
            </w:r>
          </w:p>
          <w:p w:rsidR="00251BF7" w:rsidRDefault="00251BF7" w:rsidP="00E26561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  <w:p w:rsidR="00251BF7" w:rsidRPr="003D1CFD" w:rsidRDefault="00251BF7" w:rsidP="00E26561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b/>
                <w:kern w:val="0"/>
                <w:sz w:val="24"/>
                <w:szCs w:val="24"/>
                <w:lang w:val="zh-CN"/>
              </w:rPr>
            </w:pPr>
            <w:r w:rsidRPr="003D1CFD">
              <w:rPr>
                <w:rFonts w:ascii="宋体" w:cs="宋体"/>
                <w:b/>
                <w:kern w:val="0"/>
                <w:sz w:val="24"/>
                <w:szCs w:val="24"/>
                <w:lang w:val="zh-CN"/>
              </w:rPr>
              <w:t>3</w:t>
            </w:r>
            <w:r w:rsidRPr="003D1CFD">
              <w:rPr>
                <w:rFonts w:ascii="宋体" w:cs="宋体" w:hint="eastAsia"/>
                <w:b/>
                <w:kern w:val="0"/>
                <w:sz w:val="24"/>
                <w:szCs w:val="24"/>
                <w:lang w:val="zh-CN"/>
              </w:rPr>
              <w:t>、</w:t>
            </w:r>
            <w:r>
              <w:rPr>
                <w:rFonts w:ascii="宋体" w:cs="宋体" w:hint="eastAsia"/>
                <w:b/>
                <w:kern w:val="0"/>
                <w:sz w:val="24"/>
                <w:szCs w:val="24"/>
                <w:lang w:val="zh-CN"/>
              </w:rPr>
              <w:t>公司</w:t>
            </w:r>
            <w:r>
              <w:rPr>
                <w:rFonts w:ascii="宋体" w:cs="宋体"/>
                <w:b/>
                <w:kern w:val="0"/>
                <w:sz w:val="24"/>
                <w:szCs w:val="24"/>
                <w:lang w:val="zh-CN"/>
              </w:rPr>
              <w:t>2014</w:t>
            </w:r>
            <w:r>
              <w:rPr>
                <w:rFonts w:ascii="宋体" w:cs="宋体" w:hint="eastAsia"/>
                <w:b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ascii="宋体" w:cs="宋体"/>
                <w:b/>
                <w:kern w:val="0"/>
                <w:sz w:val="24"/>
                <w:szCs w:val="24"/>
                <w:lang w:val="zh-CN"/>
              </w:rPr>
              <w:t>4</w:t>
            </w:r>
            <w:r>
              <w:rPr>
                <w:rFonts w:ascii="宋体" w:cs="宋体" w:hint="eastAsia"/>
                <w:b/>
                <w:kern w:val="0"/>
                <w:sz w:val="24"/>
                <w:szCs w:val="24"/>
                <w:lang w:val="zh-CN"/>
              </w:rPr>
              <w:t>季度交付的项目及</w:t>
            </w:r>
            <w:r>
              <w:rPr>
                <w:rFonts w:ascii="宋体" w:cs="宋体"/>
                <w:b/>
                <w:kern w:val="0"/>
                <w:sz w:val="24"/>
                <w:szCs w:val="24"/>
                <w:lang w:val="zh-CN"/>
              </w:rPr>
              <w:t>2015</w:t>
            </w:r>
            <w:r>
              <w:rPr>
                <w:rFonts w:ascii="宋体" w:cs="宋体" w:hint="eastAsia"/>
                <w:b/>
                <w:kern w:val="0"/>
                <w:sz w:val="24"/>
                <w:szCs w:val="24"/>
                <w:lang w:val="zh-CN"/>
              </w:rPr>
              <w:t>年计划交付的项目</w:t>
            </w:r>
          </w:p>
          <w:p w:rsidR="00251BF7" w:rsidRDefault="00251BF7" w:rsidP="00F50D00">
            <w:pPr>
              <w:autoSpaceDE w:val="0"/>
              <w:autoSpaceDN w:val="0"/>
              <w:adjustRightInd w:val="0"/>
              <w:spacing w:line="360" w:lineRule="auto"/>
              <w:ind w:firstLine="48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公司</w:t>
            </w:r>
            <w:r>
              <w:rPr>
                <w:rFonts w:ascii="宋体" w:cs="宋体"/>
                <w:kern w:val="0"/>
                <w:sz w:val="24"/>
                <w:szCs w:val="24"/>
                <w:lang w:val="zh-CN"/>
              </w:rPr>
              <w:t>2014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ascii="宋体" w:cs="宋体"/>
                <w:kern w:val="0"/>
                <w:sz w:val="24"/>
                <w:szCs w:val="24"/>
                <w:lang w:val="zh-CN"/>
              </w:rPr>
              <w:t>4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季度交付的项目主要有杭州的凯旋门项目、金华的金色蓝庭项目和衢州月亮湾项目的部分。</w:t>
            </w:r>
          </w:p>
          <w:p w:rsidR="00251BF7" w:rsidRDefault="00251BF7" w:rsidP="00F50D00">
            <w:pPr>
              <w:autoSpaceDE w:val="0"/>
              <w:autoSpaceDN w:val="0"/>
              <w:adjustRightInd w:val="0"/>
              <w:spacing w:line="360" w:lineRule="auto"/>
              <w:ind w:firstLine="48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公司计划于</w:t>
            </w:r>
            <w:r>
              <w:rPr>
                <w:rFonts w:ascii="宋体" w:cs="宋体"/>
                <w:kern w:val="0"/>
                <w:sz w:val="24"/>
                <w:szCs w:val="24"/>
                <w:lang w:val="zh-CN"/>
              </w:rPr>
              <w:t>2015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年竣工交付的项目主要有武林壹号的</w:t>
            </w:r>
            <w:r>
              <w:rPr>
                <w:rFonts w:ascii="宋体" w:cs="宋体"/>
                <w:kern w:val="0"/>
                <w:sz w:val="24"/>
                <w:szCs w:val="24"/>
                <w:lang w:val="zh-CN"/>
              </w:rPr>
              <w:t>3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幢楼，其中</w:t>
            </w:r>
            <w:r>
              <w:rPr>
                <w:rFonts w:ascii="宋体" w:cs="宋体"/>
                <w:kern w:val="0"/>
                <w:sz w:val="24"/>
                <w:szCs w:val="24"/>
                <w:lang w:val="zh-CN"/>
              </w:rPr>
              <w:t>7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＃已于</w:t>
            </w:r>
            <w:r>
              <w:rPr>
                <w:rFonts w:ascii="宋体" w:cs="宋体"/>
                <w:kern w:val="0"/>
                <w:sz w:val="24"/>
                <w:szCs w:val="24"/>
                <w:lang w:val="zh-CN"/>
              </w:rPr>
              <w:t>2015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ascii="宋体" w:cs="宋体"/>
                <w:kern w:val="0"/>
                <w:sz w:val="24"/>
                <w:szCs w:val="24"/>
                <w:lang w:val="zh-CN"/>
              </w:rPr>
              <w:t>1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ascii="宋体" w:cs="宋体"/>
                <w:kern w:val="0"/>
                <w:sz w:val="24"/>
                <w:szCs w:val="24"/>
                <w:lang w:val="zh-CN"/>
              </w:rPr>
              <w:t>6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日开始交付，还有金色黎明二期、绍兴金色蓝庭、湘湖壹号的部分、上虞城市之星的部分，此外，还有城市之星和万家星城等项目的现房销售交付。</w:t>
            </w:r>
          </w:p>
          <w:p w:rsidR="00251BF7" w:rsidRDefault="00251BF7" w:rsidP="00F50D00">
            <w:pPr>
              <w:autoSpaceDE w:val="0"/>
              <w:autoSpaceDN w:val="0"/>
              <w:adjustRightInd w:val="0"/>
              <w:spacing w:line="360" w:lineRule="auto"/>
              <w:ind w:firstLine="48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  <w:p w:rsidR="00251BF7" w:rsidRPr="003D1CFD" w:rsidRDefault="00251BF7" w:rsidP="00152269">
            <w:pPr>
              <w:spacing w:line="360" w:lineRule="auto"/>
              <w:ind w:rightChars="-27" w:right="-57"/>
              <w:rPr>
                <w:rFonts w:ascii="宋体" w:cs="宋体"/>
                <w:b/>
                <w:kern w:val="0"/>
                <w:sz w:val="24"/>
                <w:szCs w:val="24"/>
                <w:lang w:val="zh-CN"/>
              </w:rPr>
            </w:pPr>
            <w:r w:rsidRPr="003D1CFD">
              <w:rPr>
                <w:rFonts w:ascii="宋体" w:hAnsi="宋体" w:cs="宋体"/>
                <w:b/>
                <w:kern w:val="0"/>
                <w:sz w:val="24"/>
                <w:szCs w:val="24"/>
                <w:lang w:val="zh-CN"/>
              </w:rPr>
              <w:t>4</w:t>
            </w:r>
            <w:r w:rsidRPr="003D1CFD">
              <w:rPr>
                <w:rFonts w:ascii="宋体" w:hAnsi="宋体" w:cs="宋体" w:hint="eastAsia"/>
                <w:b/>
                <w:kern w:val="0"/>
                <w:sz w:val="24"/>
                <w:szCs w:val="24"/>
                <w:lang w:val="zh-CN"/>
              </w:rPr>
              <w:t>、公司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  <w:lang w:val="zh-CN"/>
              </w:rPr>
              <w:t>未来发展的规划</w:t>
            </w:r>
          </w:p>
          <w:p w:rsidR="00251BF7" w:rsidRDefault="00251BF7" w:rsidP="009C69D3">
            <w:pPr>
              <w:spacing w:line="360" w:lineRule="auto"/>
              <w:ind w:rightChars="-27" w:right="-57" w:firstLineChars="200" w:firstLine="480"/>
              <w:rPr>
                <w:sz w:val="24"/>
                <w:szCs w:val="24"/>
              </w:rPr>
            </w:pPr>
            <w:r w:rsidRPr="00163FE4">
              <w:rPr>
                <w:rFonts w:ascii="????" w:hAnsi="????" w:hint="eastAsia"/>
                <w:color w:val="333333"/>
                <w:sz w:val="24"/>
                <w:szCs w:val="24"/>
              </w:rPr>
              <w:t>我们会</w:t>
            </w:r>
            <w:r>
              <w:rPr>
                <w:rFonts w:ascii="????" w:hAnsi="????" w:hint="eastAsia"/>
                <w:color w:val="333333"/>
                <w:sz w:val="24"/>
                <w:szCs w:val="24"/>
              </w:rPr>
              <w:t>继续坚持稳健发展。具体的规划包括：</w:t>
            </w:r>
            <w:r w:rsidRPr="00C84AEA">
              <w:rPr>
                <w:sz w:val="24"/>
                <w:szCs w:val="24"/>
              </w:rPr>
              <w:t>3</w:t>
            </w:r>
            <w:r w:rsidRPr="00C84AEA">
              <w:rPr>
                <w:rFonts w:hint="eastAsia"/>
                <w:sz w:val="24"/>
                <w:szCs w:val="24"/>
              </w:rPr>
              <w:t>个</w:t>
            </w:r>
            <w:r w:rsidRPr="00C84AEA">
              <w:rPr>
                <w:sz w:val="24"/>
                <w:szCs w:val="24"/>
              </w:rPr>
              <w:t>1/3</w:t>
            </w:r>
            <w:r>
              <w:rPr>
                <w:rFonts w:hint="eastAsia"/>
                <w:sz w:val="24"/>
                <w:szCs w:val="24"/>
              </w:rPr>
              <w:t>、两个保持和两个下降。</w:t>
            </w:r>
            <w:r w:rsidRPr="00C84AEA">
              <w:rPr>
                <w:rFonts w:hint="eastAsia"/>
                <w:sz w:val="24"/>
                <w:szCs w:val="24"/>
              </w:rPr>
              <w:t>公司项目的结构将由</w:t>
            </w:r>
            <w:r w:rsidRPr="00C84AEA">
              <w:rPr>
                <w:sz w:val="24"/>
                <w:szCs w:val="24"/>
              </w:rPr>
              <w:t>3</w:t>
            </w:r>
            <w:r w:rsidRPr="00C84AEA">
              <w:rPr>
                <w:rFonts w:hint="eastAsia"/>
                <w:sz w:val="24"/>
                <w:szCs w:val="24"/>
              </w:rPr>
              <w:t>个</w:t>
            </w:r>
            <w:r w:rsidRPr="00C84AEA">
              <w:rPr>
                <w:sz w:val="24"/>
                <w:szCs w:val="24"/>
              </w:rPr>
              <w:t>1/3</w:t>
            </w:r>
            <w:r w:rsidRPr="00C84AEA">
              <w:rPr>
                <w:rFonts w:hint="eastAsia"/>
                <w:sz w:val="24"/>
                <w:szCs w:val="24"/>
              </w:rPr>
              <w:t>组成，即</w:t>
            </w:r>
            <w:r w:rsidRPr="00C84AEA">
              <w:rPr>
                <w:sz w:val="24"/>
                <w:szCs w:val="24"/>
              </w:rPr>
              <w:t>1/3</w:t>
            </w:r>
            <w:r w:rsidRPr="00C84AEA">
              <w:rPr>
                <w:rFonts w:hint="eastAsia"/>
                <w:sz w:val="24"/>
                <w:szCs w:val="24"/>
              </w:rPr>
              <w:t>的项目由</w:t>
            </w:r>
            <w:r>
              <w:rPr>
                <w:rFonts w:hint="eastAsia"/>
                <w:sz w:val="24"/>
                <w:szCs w:val="24"/>
              </w:rPr>
              <w:t>公司</w:t>
            </w:r>
            <w:r w:rsidRPr="00C84AEA">
              <w:rPr>
                <w:rFonts w:hint="eastAsia"/>
                <w:sz w:val="24"/>
                <w:szCs w:val="24"/>
              </w:rPr>
              <w:t>自己拿地并开发销售；</w:t>
            </w:r>
            <w:r w:rsidRPr="00C84AEA">
              <w:rPr>
                <w:sz w:val="24"/>
                <w:szCs w:val="24"/>
              </w:rPr>
              <w:t>1/3</w:t>
            </w:r>
            <w:r w:rsidRPr="00C84AEA">
              <w:rPr>
                <w:rFonts w:hint="eastAsia"/>
                <w:sz w:val="24"/>
                <w:szCs w:val="24"/>
              </w:rPr>
              <w:t>与其他公司合作拿地建设；</w:t>
            </w:r>
            <w:r w:rsidRPr="00C84AEA">
              <w:rPr>
                <w:sz w:val="24"/>
                <w:szCs w:val="24"/>
              </w:rPr>
              <w:t>1/3</w:t>
            </w:r>
            <w:r>
              <w:rPr>
                <w:rFonts w:hint="eastAsia"/>
                <w:sz w:val="24"/>
                <w:szCs w:val="24"/>
              </w:rPr>
              <w:t>为代建项目，逐步由自主开发转向品牌输出，从重资产向轻资产经营模式转变。两个保持，保持公司的销售规模和保持公司正常的现金流。两个下降，降库存和降有息负债。</w:t>
            </w:r>
          </w:p>
          <w:p w:rsidR="00251BF7" w:rsidRDefault="00251BF7" w:rsidP="009C69D3">
            <w:pPr>
              <w:spacing w:line="360" w:lineRule="auto"/>
              <w:ind w:rightChars="-27" w:right="-57" w:firstLineChars="200" w:firstLine="48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</w:rPr>
              <w:t>未来，我们也将围绕主业进行新的布局和开拓，公司计划布局海外房产市场和小镇建设，此外，公司也计划对房地产行业之外的新兴产业做一些投资。</w:t>
            </w:r>
          </w:p>
          <w:p w:rsidR="00251BF7" w:rsidRDefault="00251BF7" w:rsidP="00152269">
            <w:pPr>
              <w:spacing w:line="360" w:lineRule="auto"/>
              <w:ind w:rightChars="-27" w:right="-57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  <w:p w:rsidR="00251BF7" w:rsidRPr="00152269" w:rsidRDefault="00251BF7" w:rsidP="00A672A7">
            <w:pPr>
              <w:spacing w:line="360" w:lineRule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51BF7" w:rsidRPr="00815F60" w:rsidTr="006F444F">
        <w:tc>
          <w:tcPr>
            <w:tcW w:w="1908" w:type="dxa"/>
            <w:vAlign w:val="center"/>
          </w:tcPr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附件清单（如有）</w:t>
            </w:r>
          </w:p>
        </w:tc>
        <w:tc>
          <w:tcPr>
            <w:tcW w:w="6614" w:type="dxa"/>
          </w:tcPr>
          <w:p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无</w:t>
            </w:r>
          </w:p>
        </w:tc>
      </w:tr>
      <w:tr w:rsidR="00251BF7" w:rsidRPr="00815F60" w:rsidTr="006F444F">
        <w:tc>
          <w:tcPr>
            <w:tcW w:w="1908" w:type="dxa"/>
            <w:vAlign w:val="center"/>
          </w:tcPr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日期</w:t>
            </w:r>
          </w:p>
        </w:tc>
        <w:tc>
          <w:tcPr>
            <w:tcW w:w="6614" w:type="dxa"/>
          </w:tcPr>
          <w:p w:rsidR="00251BF7" w:rsidRDefault="00251BF7" w:rsidP="00C8338F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15"/>
              </w:smartTagPr>
              <w:r w:rsidRPr="006F444F">
                <w:rPr>
                  <w:rFonts w:ascii="宋体" w:hAnsi="宋体"/>
                  <w:bCs/>
                  <w:iCs/>
                  <w:kern w:val="0"/>
                  <w:sz w:val="24"/>
                  <w:szCs w:val="24"/>
                </w:rPr>
                <w:t>201</w:t>
              </w:r>
              <w:r>
                <w:rPr>
                  <w:rFonts w:ascii="宋体" w:hAnsi="宋体"/>
                  <w:bCs/>
                  <w:iCs/>
                  <w:kern w:val="0"/>
                  <w:sz w:val="24"/>
                  <w:szCs w:val="24"/>
                </w:rPr>
                <w:t>5</w:t>
              </w:r>
              <w:r w:rsidRPr="006F444F">
                <w:rPr>
                  <w:rFonts w:ascii="宋体" w:hAnsi="宋体" w:hint="eastAsia"/>
                  <w:bCs/>
                  <w:iCs/>
                  <w:kern w:val="0"/>
                  <w:sz w:val="24"/>
                  <w:szCs w:val="24"/>
                </w:rPr>
                <w:t>年</w:t>
              </w:r>
              <w:r>
                <w:rPr>
                  <w:rFonts w:ascii="宋体" w:hAnsi="宋体"/>
                  <w:bCs/>
                  <w:iCs/>
                  <w:kern w:val="0"/>
                  <w:sz w:val="24"/>
                  <w:szCs w:val="24"/>
                </w:rPr>
                <w:t>1</w:t>
              </w:r>
              <w:r w:rsidRPr="006F444F">
                <w:rPr>
                  <w:rFonts w:ascii="宋体" w:hAnsi="宋体" w:hint="eastAsia"/>
                  <w:bCs/>
                  <w:iCs/>
                  <w:kern w:val="0"/>
                  <w:sz w:val="24"/>
                  <w:szCs w:val="24"/>
                </w:rPr>
                <w:t>月</w:t>
              </w:r>
              <w:r>
                <w:rPr>
                  <w:rFonts w:ascii="宋体" w:hAnsi="宋体"/>
                  <w:bCs/>
                  <w:iCs/>
                  <w:kern w:val="0"/>
                  <w:sz w:val="24"/>
                  <w:szCs w:val="24"/>
                </w:rPr>
                <w:t>7</w:t>
              </w:r>
              <w:r>
                <w:rPr>
                  <w:rFonts w:ascii="宋体" w:hAnsi="宋体" w:hint="eastAsia"/>
                  <w:bCs/>
                  <w:iCs/>
                  <w:kern w:val="0"/>
                  <w:sz w:val="24"/>
                  <w:szCs w:val="24"/>
                </w:rPr>
                <w:t>日</w:t>
              </w:r>
            </w:smartTag>
          </w:p>
        </w:tc>
      </w:tr>
    </w:tbl>
    <w:p w:rsidR="00251BF7" w:rsidRDefault="00251BF7" w:rsidP="0062241F">
      <w:pPr>
        <w:ind w:firstLineChars="200" w:firstLine="480"/>
        <w:rPr>
          <w:color w:val="0000FF"/>
          <w:sz w:val="24"/>
          <w:szCs w:val="24"/>
        </w:rPr>
      </w:pPr>
    </w:p>
    <w:sectPr w:rsidR="00251BF7" w:rsidSect="00CC5CA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BF7" w:rsidRDefault="00251BF7">
      <w:r>
        <w:separator/>
      </w:r>
    </w:p>
  </w:endnote>
  <w:endnote w:type="continuationSeparator" w:id="0">
    <w:p w:rsidR="00251BF7" w:rsidRDefault="00251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F7" w:rsidRDefault="00251B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1BF7" w:rsidRDefault="00251BF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F7" w:rsidRDefault="00251BF7">
    <w:pPr>
      <w:pStyle w:val="Footer"/>
      <w:framePr w:wrap="around" w:vAnchor="text" w:hAnchor="margin" w:xAlign="center" w:y="1"/>
      <w:rPr>
        <w:rStyle w:val="PageNumber"/>
      </w:rPr>
    </w:pPr>
    <w:fldSimple w:instr="PAGE  ">
      <w:r>
        <w:rPr>
          <w:noProof/>
        </w:rPr>
        <w:t>2</w:t>
      </w:r>
    </w:fldSimple>
  </w:p>
  <w:p w:rsidR="00251BF7" w:rsidRDefault="00251B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BF7" w:rsidRDefault="00251BF7">
      <w:r>
        <w:separator/>
      </w:r>
    </w:p>
  </w:footnote>
  <w:footnote w:type="continuationSeparator" w:id="0">
    <w:p w:rsidR="00251BF7" w:rsidRDefault="00251B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34F6"/>
    <w:multiLevelType w:val="hybridMultilevel"/>
    <w:tmpl w:val="585E948C"/>
    <w:lvl w:ilvl="0" w:tplc="3E2EE74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FB71D8E"/>
    <w:multiLevelType w:val="hybridMultilevel"/>
    <w:tmpl w:val="2CD44090"/>
    <w:lvl w:ilvl="0" w:tplc="5CCA4B2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2405702"/>
    <w:multiLevelType w:val="hybridMultilevel"/>
    <w:tmpl w:val="9118E190"/>
    <w:lvl w:ilvl="0" w:tplc="6052B306">
      <w:start w:val="1"/>
      <w:numFmt w:val="decimal"/>
      <w:lvlText w:val="%1、"/>
      <w:lvlJc w:val="left"/>
      <w:pPr>
        <w:ind w:left="270" w:hanging="27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46BF601C"/>
    <w:multiLevelType w:val="hybridMultilevel"/>
    <w:tmpl w:val="D22C745E"/>
    <w:lvl w:ilvl="0" w:tplc="AB7639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6F4F751E"/>
    <w:multiLevelType w:val="hybridMultilevel"/>
    <w:tmpl w:val="466021AC"/>
    <w:lvl w:ilvl="0" w:tplc="E77C1364">
      <w:start w:val="5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77536AD1"/>
    <w:multiLevelType w:val="hybridMultilevel"/>
    <w:tmpl w:val="CED20926"/>
    <w:lvl w:ilvl="0" w:tplc="D0305114">
      <w:start w:val="7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81E"/>
    <w:rsid w:val="00004B12"/>
    <w:rsid w:val="000106DD"/>
    <w:rsid w:val="0001327D"/>
    <w:rsid w:val="00014901"/>
    <w:rsid w:val="00032E38"/>
    <w:rsid w:val="00033B8D"/>
    <w:rsid w:val="00033C7D"/>
    <w:rsid w:val="00040FD4"/>
    <w:rsid w:val="0005530E"/>
    <w:rsid w:val="00056A5B"/>
    <w:rsid w:val="000720D0"/>
    <w:rsid w:val="000772F4"/>
    <w:rsid w:val="000828DA"/>
    <w:rsid w:val="000840AB"/>
    <w:rsid w:val="00096B28"/>
    <w:rsid w:val="00096C00"/>
    <w:rsid w:val="000A3CB7"/>
    <w:rsid w:val="000B0F06"/>
    <w:rsid w:val="000B6ECE"/>
    <w:rsid w:val="000B7354"/>
    <w:rsid w:val="000C4A9A"/>
    <w:rsid w:val="000C4C70"/>
    <w:rsid w:val="000D3C22"/>
    <w:rsid w:val="000D7AE3"/>
    <w:rsid w:val="000E4CF4"/>
    <w:rsid w:val="000F3B97"/>
    <w:rsid w:val="00115FA3"/>
    <w:rsid w:val="001170A0"/>
    <w:rsid w:val="00117BD5"/>
    <w:rsid w:val="00123E1B"/>
    <w:rsid w:val="001256DA"/>
    <w:rsid w:val="0013594D"/>
    <w:rsid w:val="00147854"/>
    <w:rsid w:val="00152269"/>
    <w:rsid w:val="00157263"/>
    <w:rsid w:val="00162109"/>
    <w:rsid w:val="00163CB6"/>
    <w:rsid w:val="00163FE4"/>
    <w:rsid w:val="001709BA"/>
    <w:rsid w:val="00171A3E"/>
    <w:rsid w:val="001748BE"/>
    <w:rsid w:val="00177BDD"/>
    <w:rsid w:val="00182B67"/>
    <w:rsid w:val="001B4874"/>
    <w:rsid w:val="001C168D"/>
    <w:rsid w:val="001C19F2"/>
    <w:rsid w:val="001D0E99"/>
    <w:rsid w:val="001D4B33"/>
    <w:rsid w:val="001E0CFB"/>
    <w:rsid w:val="001F093B"/>
    <w:rsid w:val="00201820"/>
    <w:rsid w:val="00204C69"/>
    <w:rsid w:val="00207DC0"/>
    <w:rsid w:val="0021126B"/>
    <w:rsid w:val="00215F81"/>
    <w:rsid w:val="00221BBA"/>
    <w:rsid w:val="00222F73"/>
    <w:rsid w:val="002268A1"/>
    <w:rsid w:val="002277C1"/>
    <w:rsid w:val="00230AAB"/>
    <w:rsid w:val="002316E3"/>
    <w:rsid w:val="00240D5E"/>
    <w:rsid w:val="002439FB"/>
    <w:rsid w:val="00247163"/>
    <w:rsid w:val="00251BF7"/>
    <w:rsid w:val="00253B91"/>
    <w:rsid w:val="002633DA"/>
    <w:rsid w:val="002643ED"/>
    <w:rsid w:val="0026452A"/>
    <w:rsid w:val="002646C9"/>
    <w:rsid w:val="0027485B"/>
    <w:rsid w:val="002918EE"/>
    <w:rsid w:val="00292080"/>
    <w:rsid w:val="002965B3"/>
    <w:rsid w:val="002A6E47"/>
    <w:rsid w:val="002A6FAE"/>
    <w:rsid w:val="002B60E0"/>
    <w:rsid w:val="002B6E6E"/>
    <w:rsid w:val="002C140B"/>
    <w:rsid w:val="002D6B05"/>
    <w:rsid w:val="002D7D56"/>
    <w:rsid w:val="002E3572"/>
    <w:rsid w:val="002E5D52"/>
    <w:rsid w:val="002E7A44"/>
    <w:rsid w:val="002F0D71"/>
    <w:rsid w:val="00303CEF"/>
    <w:rsid w:val="00305AF2"/>
    <w:rsid w:val="00313B3E"/>
    <w:rsid w:val="00315C91"/>
    <w:rsid w:val="00324DB1"/>
    <w:rsid w:val="003373D1"/>
    <w:rsid w:val="00340F93"/>
    <w:rsid w:val="003501E1"/>
    <w:rsid w:val="00353DB8"/>
    <w:rsid w:val="00364D41"/>
    <w:rsid w:val="00372FC0"/>
    <w:rsid w:val="00376686"/>
    <w:rsid w:val="003817A4"/>
    <w:rsid w:val="003959F7"/>
    <w:rsid w:val="003A0DA5"/>
    <w:rsid w:val="003B0E13"/>
    <w:rsid w:val="003C4B26"/>
    <w:rsid w:val="003C693D"/>
    <w:rsid w:val="003C79A2"/>
    <w:rsid w:val="003D1CFD"/>
    <w:rsid w:val="003E1AC4"/>
    <w:rsid w:val="003E36B6"/>
    <w:rsid w:val="003E457D"/>
    <w:rsid w:val="003F1089"/>
    <w:rsid w:val="00413060"/>
    <w:rsid w:val="0041568F"/>
    <w:rsid w:val="0042051A"/>
    <w:rsid w:val="00430A19"/>
    <w:rsid w:val="00432263"/>
    <w:rsid w:val="00432580"/>
    <w:rsid w:val="004370B9"/>
    <w:rsid w:val="0044110C"/>
    <w:rsid w:val="00441995"/>
    <w:rsid w:val="004510BF"/>
    <w:rsid w:val="0045211D"/>
    <w:rsid w:val="004538DE"/>
    <w:rsid w:val="00472862"/>
    <w:rsid w:val="0048001C"/>
    <w:rsid w:val="00480DE3"/>
    <w:rsid w:val="00492F9D"/>
    <w:rsid w:val="004950F8"/>
    <w:rsid w:val="00495325"/>
    <w:rsid w:val="004A480D"/>
    <w:rsid w:val="004B0108"/>
    <w:rsid w:val="004B3E59"/>
    <w:rsid w:val="004C29DB"/>
    <w:rsid w:val="004C2EBD"/>
    <w:rsid w:val="004C33B9"/>
    <w:rsid w:val="004C404A"/>
    <w:rsid w:val="004C47A4"/>
    <w:rsid w:val="004C59B5"/>
    <w:rsid w:val="004D100C"/>
    <w:rsid w:val="004D78E7"/>
    <w:rsid w:val="004E2CA0"/>
    <w:rsid w:val="004E5F18"/>
    <w:rsid w:val="004E684C"/>
    <w:rsid w:val="004E7445"/>
    <w:rsid w:val="004F0E18"/>
    <w:rsid w:val="004F2FE3"/>
    <w:rsid w:val="004F30FB"/>
    <w:rsid w:val="00503E05"/>
    <w:rsid w:val="00506EB3"/>
    <w:rsid w:val="00511622"/>
    <w:rsid w:val="00513DF8"/>
    <w:rsid w:val="00522556"/>
    <w:rsid w:val="00533ECE"/>
    <w:rsid w:val="005408D5"/>
    <w:rsid w:val="00553C7D"/>
    <w:rsid w:val="00557D08"/>
    <w:rsid w:val="00565886"/>
    <w:rsid w:val="00573CA9"/>
    <w:rsid w:val="00585DA3"/>
    <w:rsid w:val="0058781E"/>
    <w:rsid w:val="0059605D"/>
    <w:rsid w:val="005968CA"/>
    <w:rsid w:val="005A217D"/>
    <w:rsid w:val="005A2E96"/>
    <w:rsid w:val="005A643F"/>
    <w:rsid w:val="005B2754"/>
    <w:rsid w:val="005B481B"/>
    <w:rsid w:val="005D0B94"/>
    <w:rsid w:val="005D0CB2"/>
    <w:rsid w:val="005E3B3F"/>
    <w:rsid w:val="005E48A2"/>
    <w:rsid w:val="005E5E31"/>
    <w:rsid w:val="005F2E4E"/>
    <w:rsid w:val="00600559"/>
    <w:rsid w:val="00602D95"/>
    <w:rsid w:val="0060320F"/>
    <w:rsid w:val="00603B3D"/>
    <w:rsid w:val="00604C50"/>
    <w:rsid w:val="00605A17"/>
    <w:rsid w:val="00605B93"/>
    <w:rsid w:val="00612B82"/>
    <w:rsid w:val="0061501C"/>
    <w:rsid w:val="006166C1"/>
    <w:rsid w:val="006222ED"/>
    <w:rsid w:val="0062241F"/>
    <w:rsid w:val="006245A1"/>
    <w:rsid w:val="006269DB"/>
    <w:rsid w:val="00626A7A"/>
    <w:rsid w:val="00631366"/>
    <w:rsid w:val="00633CE7"/>
    <w:rsid w:val="0063401C"/>
    <w:rsid w:val="0064046A"/>
    <w:rsid w:val="00642588"/>
    <w:rsid w:val="0064409B"/>
    <w:rsid w:val="00647800"/>
    <w:rsid w:val="006504F8"/>
    <w:rsid w:val="00651EB6"/>
    <w:rsid w:val="00661653"/>
    <w:rsid w:val="006620ED"/>
    <w:rsid w:val="00662BB1"/>
    <w:rsid w:val="00663160"/>
    <w:rsid w:val="00665B2C"/>
    <w:rsid w:val="006700F5"/>
    <w:rsid w:val="006776A0"/>
    <w:rsid w:val="006810BF"/>
    <w:rsid w:val="006820E3"/>
    <w:rsid w:val="00690037"/>
    <w:rsid w:val="00694CFC"/>
    <w:rsid w:val="006A3C0A"/>
    <w:rsid w:val="006A3C35"/>
    <w:rsid w:val="006B0A99"/>
    <w:rsid w:val="006B146D"/>
    <w:rsid w:val="006B4C77"/>
    <w:rsid w:val="006B798E"/>
    <w:rsid w:val="006C6786"/>
    <w:rsid w:val="006D0F39"/>
    <w:rsid w:val="006E19C0"/>
    <w:rsid w:val="006E4423"/>
    <w:rsid w:val="006E60D8"/>
    <w:rsid w:val="006F444F"/>
    <w:rsid w:val="006F5AE2"/>
    <w:rsid w:val="0070514E"/>
    <w:rsid w:val="007070A3"/>
    <w:rsid w:val="00715CB3"/>
    <w:rsid w:val="00726811"/>
    <w:rsid w:val="00730A2F"/>
    <w:rsid w:val="00731437"/>
    <w:rsid w:val="00733AC8"/>
    <w:rsid w:val="00733CED"/>
    <w:rsid w:val="007423A4"/>
    <w:rsid w:val="007426DE"/>
    <w:rsid w:val="00743E47"/>
    <w:rsid w:val="00745F4C"/>
    <w:rsid w:val="0075182B"/>
    <w:rsid w:val="00760BD9"/>
    <w:rsid w:val="00766DF7"/>
    <w:rsid w:val="00780D84"/>
    <w:rsid w:val="007836B8"/>
    <w:rsid w:val="007873B2"/>
    <w:rsid w:val="0078774B"/>
    <w:rsid w:val="00787FED"/>
    <w:rsid w:val="007908F0"/>
    <w:rsid w:val="00790FDA"/>
    <w:rsid w:val="00791EC4"/>
    <w:rsid w:val="0079619E"/>
    <w:rsid w:val="0079769C"/>
    <w:rsid w:val="007A1E7A"/>
    <w:rsid w:val="007A6778"/>
    <w:rsid w:val="007B6FEC"/>
    <w:rsid w:val="007C06B2"/>
    <w:rsid w:val="007C4459"/>
    <w:rsid w:val="007C766A"/>
    <w:rsid w:val="007D4170"/>
    <w:rsid w:val="007D631D"/>
    <w:rsid w:val="007E62B3"/>
    <w:rsid w:val="007F2A6A"/>
    <w:rsid w:val="00803585"/>
    <w:rsid w:val="00803E58"/>
    <w:rsid w:val="00813D85"/>
    <w:rsid w:val="0081408C"/>
    <w:rsid w:val="008152F7"/>
    <w:rsid w:val="00815F60"/>
    <w:rsid w:val="0082657D"/>
    <w:rsid w:val="0083014A"/>
    <w:rsid w:val="00830E47"/>
    <w:rsid w:val="0083311A"/>
    <w:rsid w:val="00836894"/>
    <w:rsid w:val="00837651"/>
    <w:rsid w:val="00837811"/>
    <w:rsid w:val="00841019"/>
    <w:rsid w:val="00854245"/>
    <w:rsid w:val="008546CF"/>
    <w:rsid w:val="008572AE"/>
    <w:rsid w:val="00860926"/>
    <w:rsid w:val="0086250C"/>
    <w:rsid w:val="00873FB3"/>
    <w:rsid w:val="00874E92"/>
    <w:rsid w:val="008808A0"/>
    <w:rsid w:val="00882D06"/>
    <w:rsid w:val="00885382"/>
    <w:rsid w:val="00891F8F"/>
    <w:rsid w:val="00892D55"/>
    <w:rsid w:val="0089710C"/>
    <w:rsid w:val="00897163"/>
    <w:rsid w:val="008A078F"/>
    <w:rsid w:val="008A7432"/>
    <w:rsid w:val="008B2881"/>
    <w:rsid w:val="008B2B2B"/>
    <w:rsid w:val="008B3D96"/>
    <w:rsid w:val="008B7088"/>
    <w:rsid w:val="008C0B4A"/>
    <w:rsid w:val="008C3427"/>
    <w:rsid w:val="008C470E"/>
    <w:rsid w:val="008D47AE"/>
    <w:rsid w:val="008D4D20"/>
    <w:rsid w:val="008D64E9"/>
    <w:rsid w:val="008E0297"/>
    <w:rsid w:val="008E6BE3"/>
    <w:rsid w:val="00905972"/>
    <w:rsid w:val="00906AD7"/>
    <w:rsid w:val="009106EC"/>
    <w:rsid w:val="00910863"/>
    <w:rsid w:val="00914CCF"/>
    <w:rsid w:val="009214E2"/>
    <w:rsid w:val="00932F42"/>
    <w:rsid w:val="009362DD"/>
    <w:rsid w:val="009374CF"/>
    <w:rsid w:val="00940F46"/>
    <w:rsid w:val="00950F97"/>
    <w:rsid w:val="0095434D"/>
    <w:rsid w:val="00955BD7"/>
    <w:rsid w:val="009617CF"/>
    <w:rsid w:val="00962770"/>
    <w:rsid w:val="009663A9"/>
    <w:rsid w:val="00970469"/>
    <w:rsid w:val="0097126A"/>
    <w:rsid w:val="0097246A"/>
    <w:rsid w:val="00972666"/>
    <w:rsid w:val="00975DE0"/>
    <w:rsid w:val="00982502"/>
    <w:rsid w:val="009833E9"/>
    <w:rsid w:val="00985FE4"/>
    <w:rsid w:val="00986D27"/>
    <w:rsid w:val="00987E52"/>
    <w:rsid w:val="009901AD"/>
    <w:rsid w:val="00990D28"/>
    <w:rsid w:val="009933F6"/>
    <w:rsid w:val="009A1DD0"/>
    <w:rsid w:val="009A463B"/>
    <w:rsid w:val="009B2FCD"/>
    <w:rsid w:val="009C01EC"/>
    <w:rsid w:val="009C312D"/>
    <w:rsid w:val="009C69D3"/>
    <w:rsid w:val="009D5E66"/>
    <w:rsid w:val="009E3FCB"/>
    <w:rsid w:val="009F29A3"/>
    <w:rsid w:val="009F500D"/>
    <w:rsid w:val="00A00F07"/>
    <w:rsid w:val="00A0182B"/>
    <w:rsid w:val="00A06B14"/>
    <w:rsid w:val="00A070A1"/>
    <w:rsid w:val="00A1007D"/>
    <w:rsid w:val="00A13851"/>
    <w:rsid w:val="00A13BF7"/>
    <w:rsid w:val="00A13D2E"/>
    <w:rsid w:val="00A16D2E"/>
    <w:rsid w:val="00A27344"/>
    <w:rsid w:val="00A273DF"/>
    <w:rsid w:val="00A30AA6"/>
    <w:rsid w:val="00A32208"/>
    <w:rsid w:val="00A34B1D"/>
    <w:rsid w:val="00A35192"/>
    <w:rsid w:val="00A36B60"/>
    <w:rsid w:val="00A466ED"/>
    <w:rsid w:val="00A46FE9"/>
    <w:rsid w:val="00A53759"/>
    <w:rsid w:val="00A579E0"/>
    <w:rsid w:val="00A57A99"/>
    <w:rsid w:val="00A62535"/>
    <w:rsid w:val="00A66C4F"/>
    <w:rsid w:val="00A672A7"/>
    <w:rsid w:val="00A71FDA"/>
    <w:rsid w:val="00A72A2E"/>
    <w:rsid w:val="00A73C28"/>
    <w:rsid w:val="00A74293"/>
    <w:rsid w:val="00A74A72"/>
    <w:rsid w:val="00A75ADA"/>
    <w:rsid w:val="00A81C88"/>
    <w:rsid w:val="00A829C2"/>
    <w:rsid w:val="00A83BA8"/>
    <w:rsid w:val="00A86E03"/>
    <w:rsid w:val="00A923B5"/>
    <w:rsid w:val="00A95F89"/>
    <w:rsid w:val="00A97699"/>
    <w:rsid w:val="00AA0BCD"/>
    <w:rsid w:val="00AA0CE8"/>
    <w:rsid w:val="00AA4A3F"/>
    <w:rsid w:val="00AB688F"/>
    <w:rsid w:val="00AB6C5C"/>
    <w:rsid w:val="00AC3CED"/>
    <w:rsid w:val="00AC648E"/>
    <w:rsid w:val="00AD28BC"/>
    <w:rsid w:val="00B01F05"/>
    <w:rsid w:val="00B107CD"/>
    <w:rsid w:val="00B12284"/>
    <w:rsid w:val="00B16A46"/>
    <w:rsid w:val="00B31096"/>
    <w:rsid w:val="00B41AD7"/>
    <w:rsid w:val="00B5644B"/>
    <w:rsid w:val="00B57455"/>
    <w:rsid w:val="00B61868"/>
    <w:rsid w:val="00B62B29"/>
    <w:rsid w:val="00B65385"/>
    <w:rsid w:val="00B77ACB"/>
    <w:rsid w:val="00B811FC"/>
    <w:rsid w:val="00B83751"/>
    <w:rsid w:val="00B85CF9"/>
    <w:rsid w:val="00B866DD"/>
    <w:rsid w:val="00B873B9"/>
    <w:rsid w:val="00B87FA8"/>
    <w:rsid w:val="00B940D6"/>
    <w:rsid w:val="00B96803"/>
    <w:rsid w:val="00B978A1"/>
    <w:rsid w:val="00BA45D4"/>
    <w:rsid w:val="00BB0EB6"/>
    <w:rsid w:val="00BD3317"/>
    <w:rsid w:val="00BD34F7"/>
    <w:rsid w:val="00BD3941"/>
    <w:rsid w:val="00BD6575"/>
    <w:rsid w:val="00BE5D6C"/>
    <w:rsid w:val="00BE5F36"/>
    <w:rsid w:val="00BF078B"/>
    <w:rsid w:val="00C038D7"/>
    <w:rsid w:val="00C15320"/>
    <w:rsid w:val="00C16EAB"/>
    <w:rsid w:val="00C244F2"/>
    <w:rsid w:val="00C37888"/>
    <w:rsid w:val="00C42314"/>
    <w:rsid w:val="00C45D65"/>
    <w:rsid w:val="00C45DA7"/>
    <w:rsid w:val="00C50836"/>
    <w:rsid w:val="00C52F3D"/>
    <w:rsid w:val="00C57D7A"/>
    <w:rsid w:val="00C75974"/>
    <w:rsid w:val="00C76347"/>
    <w:rsid w:val="00C8338F"/>
    <w:rsid w:val="00C84AEA"/>
    <w:rsid w:val="00C86B4B"/>
    <w:rsid w:val="00C941B1"/>
    <w:rsid w:val="00CA2FA1"/>
    <w:rsid w:val="00CA443B"/>
    <w:rsid w:val="00CA588B"/>
    <w:rsid w:val="00CB2B59"/>
    <w:rsid w:val="00CC01D1"/>
    <w:rsid w:val="00CC2213"/>
    <w:rsid w:val="00CC5B20"/>
    <w:rsid w:val="00CC5CAB"/>
    <w:rsid w:val="00CD2750"/>
    <w:rsid w:val="00CF1A5D"/>
    <w:rsid w:val="00CF7B54"/>
    <w:rsid w:val="00D01135"/>
    <w:rsid w:val="00D036F3"/>
    <w:rsid w:val="00D04328"/>
    <w:rsid w:val="00D04A16"/>
    <w:rsid w:val="00D0752D"/>
    <w:rsid w:val="00D075EC"/>
    <w:rsid w:val="00D16A87"/>
    <w:rsid w:val="00D22D35"/>
    <w:rsid w:val="00D24BDB"/>
    <w:rsid w:val="00D262AB"/>
    <w:rsid w:val="00D27064"/>
    <w:rsid w:val="00D272D6"/>
    <w:rsid w:val="00D30E86"/>
    <w:rsid w:val="00D320B3"/>
    <w:rsid w:val="00D34678"/>
    <w:rsid w:val="00D46A75"/>
    <w:rsid w:val="00D50A82"/>
    <w:rsid w:val="00D52411"/>
    <w:rsid w:val="00D61273"/>
    <w:rsid w:val="00D662AE"/>
    <w:rsid w:val="00D77ECA"/>
    <w:rsid w:val="00D80053"/>
    <w:rsid w:val="00D8323D"/>
    <w:rsid w:val="00D95122"/>
    <w:rsid w:val="00D9598F"/>
    <w:rsid w:val="00D96242"/>
    <w:rsid w:val="00D9651C"/>
    <w:rsid w:val="00DA21FB"/>
    <w:rsid w:val="00DA6F97"/>
    <w:rsid w:val="00DB0A49"/>
    <w:rsid w:val="00DB2AE8"/>
    <w:rsid w:val="00DB2B0B"/>
    <w:rsid w:val="00DB485A"/>
    <w:rsid w:val="00DB52D1"/>
    <w:rsid w:val="00DC365E"/>
    <w:rsid w:val="00DD1E41"/>
    <w:rsid w:val="00DD362A"/>
    <w:rsid w:val="00DD52FA"/>
    <w:rsid w:val="00DE13EA"/>
    <w:rsid w:val="00DE3070"/>
    <w:rsid w:val="00DE69D6"/>
    <w:rsid w:val="00DF00FB"/>
    <w:rsid w:val="00DF52D1"/>
    <w:rsid w:val="00E00067"/>
    <w:rsid w:val="00E015CD"/>
    <w:rsid w:val="00E03C20"/>
    <w:rsid w:val="00E04F0E"/>
    <w:rsid w:val="00E23278"/>
    <w:rsid w:val="00E26561"/>
    <w:rsid w:val="00E305F5"/>
    <w:rsid w:val="00E445F7"/>
    <w:rsid w:val="00E56173"/>
    <w:rsid w:val="00E60531"/>
    <w:rsid w:val="00E72945"/>
    <w:rsid w:val="00E7328A"/>
    <w:rsid w:val="00E74C8A"/>
    <w:rsid w:val="00E773D9"/>
    <w:rsid w:val="00E777E2"/>
    <w:rsid w:val="00E822C9"/>
    <w:rsid w:val="00E83E18"/>
    <w:rsid w:val="00E86C7B"/>
    <w:rsid w:val="00E87944"/>
    <w:rsid w:val="00E97C47"/>
    <w:rsid w:val="00EA33DA"/>
    <w:rsid w:val="00EA5D19"/>
    <w:rsid w:val="00EB2FB1"/>
    <w:rsid w:val="00EB31D2"/>
    <w:rsid w:val="00EC20A7"/>
    <w:rsid w:val="00EC51B6"/>
    <w:rsid w:val="00ED3E4C"/>
    <w:rsid w:val="00EE2DB1"/>
    <w:rsid w:val="00EE3F94"/>
    <w:rsid w:val="00EE788B"/>
    <w:rsid w:val="00F01A97"/>
    <w:rsid w:val="00F07118"/>
    <w:rsid w:val="00F14826"/>
    <w:rsid w:val="00F15287"/>
    <w:rsid w:val="00F209F6"/>
    <w:rsid w:val="00F342EC"/>
    <w:rsid w:val="00F34670"/>
    <w:rsid w:val="00F34C1B"/>
    <w:rsid w:val="00F35854"/>
    <w:rsid w:val="00F36817"/>
    <w:rsid w:val="00F443AA"/>
    <w:rsid w:val="00F457F3"/>
    <w:rsid w:val="00F45DF4"/>
    <w:rsid w:val="00F4758C"/>
    <w:rsid w:val="00F50D00"/>
    <w:rsid w:val="00F53975"/>
    <w:rsid w:val="00F60CD0"/>
    <w:rsid w:val="00F61D80"/>
    <w:rsid w:val="00F660F5"/>
    <w:rsid w:val="00F72981"/>
    <w:rsid w:val="00F729ED"/>
    <w:rsid w:val="00F748E7"/>
    <w:rsid w:val="00F7590B"/>
    <w:rsid w:val="00F973DA"/>
    <w:rsid w:val="00F97B56"/>
    <w:rsid w:val="00FA734A"/>
    <w:rsid w:val="00FB0B6D"/>
    <w:rsid w:val="00FB139E"/>
    <w:rsid w:val="00FB1F83"/>
    <w:rsid w:val="00FB6813"/>
    <w:rsid w:val="00FD2E1E"/>
    <w:rsid w:val="00FD5220"/>
    <w:rsid w:val="00FE11A9"/>
    <w:rsid w:val="00FE3AA8"/>
    <w:rsid w:val="00FF1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81E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8781E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FD5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5220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D5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5220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64046A"/>
    <w:pPr>
      <w:ind w:firstLineChars="200" w:firstLine="420"/>
    </w:pPr>
  </w:style>
  <w:style w:type="paragraph" w:styleId="NormalWeb">
    <w:name w:val="Normal (Web)"/>
    <w:basedOn w:val="Normal"/>
    <w:uiPriority w:val="99"/>
    <w:semiHidden/>
    <w:rsid w:val="00DB0A4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PageNumber">
    <w:name w:val="page number"/>
    <w:basedOn w:val="DefaultParagraphFont"/>
    <w:uiPriority w:val="99"/>
    <w:rsid w:val="0097126A"/>
    <w:rPr>
      <w:rFonts w:cs="Times New Roman"/>
    </w:rPr>
  </w:style>
  <w:style w:type="paragraph" w:customStyle="1" w:styleId="Default">
    <w:name w:val="Default"/>
    <w:uiPriority w:val="99"/>
    <w:rsid w:val="00BD3941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26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26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260909"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3B2B2"/>
            <w:bottom w:val="none" w:sz="0" w:space="0" w:color="auto"/>
            <w:right w:val="single" w:sz="6" w:space="0" w:color="B3B2B2"/>
          </w:divBdr>
          <w:divsChild>
            <w:div w:id="144226091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6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609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260911">
                          <w:marLeft w:val="30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6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2609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26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406</TotalTime>
  <Pages>2</Pages>
  <Words>141</Words>
  <Characters>806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xuelian</dc:creator>
  <cp:keywords/>
  <dc:description/>
  <cp:lastModifiedBy>耿瑾</cp:lastModifiedBy>
  <cp:revision>50</cp:revision>
  <cp:lastPrinted>2015-01-08T04:00:00Z</cp:lastPrinted>
  <dcterms:created xsi:type="dcterms:W3CDTF">2013-09-22T03:30:00Z</dcterms:created>
  <dcterms:modified xsi:type="dcterms:W3CDTF">2015-01-08T04:02:00Z</dcterms:modified>
</cp:coreProperties>
</file>