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71080C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71080C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5C3967">
        <w:rPr>
          <w:rFonts w:ascii="宋体" w:hAnsi="宋体" w:hint="eastAsia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2B4AC5" w:rsidP="00AA32E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中信建投 苏雪晶、胡倩 融通基金 丁经纬、周珺、姚昆、邹曦、严菲 </w:t>
            </w:r>
            <w:r w:rsidR="0048387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民生加银基金 柳世庆 任行投资 马青亚 永安国富资产管理公司 沈吉 璞盈资本 陈孝林 中国人寿 张英超 深圳清水源投资 </w:t>
            </w:r>
            <w:r w:rsidR="0032314C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袁煜森 克尔瑞信息 朱一鸣 上海景林资产 李署 友邦保险 许敏敏 华夏基金 彭一博 中金公司 宁静鞭 海通证券 涂力磊</w:t>
            </w:r>
            <w:r w:rsidR="00AA32E6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、贾亚童 </w:t>
            </w:r>
            <w:r w:rsidR="0032314C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华商基金 李贺 上海原点资产管理 贺立 财通证券 赵月亮</w:t>
            </w:r>
            <w:r w:rsidR="00AA32E6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9D1512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敦和资产管理 吴来迪 华夏基金 庞莉洋 银华基金 周书 </w:t>
            </w:r>
            <w:r w:rsidR="00F9695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兴业全球基金 虞淼 </w:t>
            </w:r>
            <w:r w:rsidR="00AA32E6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广发证券 乐加栋、金山 新华资产 兰宏阳 华夏基金 杨路 中国平安 赵旭城 华安基金 王嘉 建信基金 王东杰 工银瑞信 王君上 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483879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E1F0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2B4AC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48387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31039D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E27BC6" w:rsidRPr="003D1CFD" w:rsidRDefault="00E27BC6" w:rsidP="00E27BC6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一、杭州房地产市场情况</w:t>
            </w:r>
          </w:p>
          <w:p w:rsidR="0024424A" w:rsidRPr="00F34295" w:rsidRDefault="00E27BC6" w:rsidP="00F342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????" w:hAnsi="????"/>
                <w:color w:val="333333"/>
                <w:sz w:val="24"/>
                <w:szCs w:val="24"/>
              </w:rPr>
            </w:pPr>
            <w:r>
              <w:rPr>
                <w:rFonts w:ascii="????" w:hAnsi="????" w:hint="eastAsia"/>
                <w:color w:val="333333"/>
                <w:sz w:val="24"/>
                <w:szCs w:val="24"/>
              </w:rPr>
              <w:t>今年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－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月，杭州</w:t>
            </w:r>
            <w:r w:rsidR="006B18E5">
              <w:rPr>
                <w:rFonts w:ascii="????" w:hAnsi="????" w:hint="eastAsia"/>
                <w:color w:val="333333"/>
                <w:sz w:val="24"/>
                <w:szCs w:val="24"/>
              </w:rPr>
              <w:t>成交套数为</w:t>
            </w:r>
            <w:r w:rsidR="006B18E5">
              <w:rPr>
                <w:rFonts w:ascii="????" w:hAnsi="????" w:hint="eastAsia"/>
                <w:color w:val="333333"/>
                <w:sz w:val="24"/>
                <w:szCs w:val="24"/>
              </w:rPr>
              <w:t>11054</w:t>
            </w:r>
            <w:r w:rsidR="006B18E5">
              <w:rPr>
                <w:rFonts w:ascii="????" w:hAnsi="????" w:hint="eastAsia"/>
                <w:color w:val="333333"/>
                <w:sz w:val="24"/>
                <w:szCs w:val="24"/>
              </w:rPr>
              <w:t>套，比去年同期增长</w:t>
            </w:r>
            <w:r w:rsidR="00BC71F6">
              <w:rPr>
                <w:rFonts w:ascii="????" w:hAnsi="????" w:hint="eastAsia"/>
                <w:color w:val="333333"/>
                <w:sz w:val="24"/>
                <w:szCs w:val="24"/>
              </w:rPr>
              <w:t>约</w:t>
            </w:r>
            <w:r w:rsidR="006B18E5">
              <w:rPr>
                <w:rFonts w:ascii="????" w:hAnsi="????" w:hint="eastAsia"/>
                <w:color w:val="333333"/>
                <w:sz w:val="24"/>
                <w:szCs w:val="24"/>
              </w:rPr>
              <w:t>28%</w:t>
            </w:r>
            <w:r w:rsidR="006B18E5">
              <w:rPr>
                <w:rFonts w:ascii="????" w:hAnsi="????" w:hint="eastAsia"/>
                <w:color w:val="333333"/>
                <w:sz w:val="24"/>
                <w:szCs w:val="24"/>
              </w:rPr>
              <w:t>。其中杭州主城区</w:t>
            </w:r>
            <w:r w:rsidR="002C67B6">
              <w:rPr>
                <w:rFonts w:ascii="????" w:hAnsi="????" w:hint="eastAsia"/>
                <w:color w:val="333333"/>
                <w:sz w:val="24"/>
                <w:szCs w:val="24"/>
              </w:rPr>
              <w:t>的成交套数为</w:t>
            </w:r>
            <w:r w:rsidR="002C67B6">
              <w:rPr>
                <w:rFonts w:ascii="????" w:hAnsi="????" w:hint="eastAsia"/>
                <w:color w:val="333333"/>
                <w:sz w:val="24"/>
                <w:szCs w:val="24"/>
              </w:rPr>
              <w:t>5173</w:t>
            </w:r>
            <w:r w:rsidR="002C67B6">
              <w:rPr>
                <w:rFonts w:ascii="????" w:hAnsi="????" w:hint="eastAsia"/>
                <w:color w:val="333333"/>
                <w:sz w:val="24"/>
                <w:szCs w:val="24"/>
              </w:rPr>
              <w:t>套，</w:t>
            </w:r>
            <w:r w:rsidR="006B18E5">
              <w:rPr>
                <w:rFonts w:ascii="????" w:hAnsi="????" w:hint="eastAsia"/>
                <w:color w:val="333333"/>
                <w:sz w:val="24"/>
                <w:szCs w:val="24"/>
              </w:rPr>
              <w:t>比</w:t>
            </w:r>
            <w:r w:rsidR="002C67B6">
              <w:rPr>
                <w:rFonts w:ascii="????" w:hAnsi="????" w:hint="eastAsia"/>
                <w:color w:val="333333"/>
                <w:sz w:val="24"/>
                <w:szCs w:val="24"/>
              </w:rPr>
              <w:t>去年同期增长</w:t>
            </w:r>
            <w:r w:rsidR="00BC71F6">
              <w:rPr>
                <w:rFonts w:ascii="????" w:hAnsi="????" w:hint="eastAsia"/>
                <w:color w:val="333333"/>
                <w:sz w:val="24"/>
                <w:szCs w:val="24"/>
              </w:rPr>
              <w:t>约</w:t>
            </w:r>
            <w:r w:rsidR="002C67B6">
              <w:rPr>
                <w:rFonts w:ascii="????" w:hAnsi="????" w:hint="eastAsia"/>
                <w:color w:val="333333"/>
                <w:sz w:val="24"/>
                <w:szCs w:val="24"/>
              </w:rPr>
              <w:t>44%</w:t>
            </w:r>
            <w:r w:rsidR="002C67B6">
              <w:rPr>
                <w:rFonts w:ascii="????" w:hAnsi="????" w:hint="eastAsia"/>
                <w:color w:val="333333"/>
                <w:sz w:val="24"/>
                <w:szCs w:val="24"/>
              </w:rPr>
              <w:t>。</w:t>
            </w:r>
            <w:r w:rsidR="00D16445">
              <w:rPr>
                <w:rFonts w:ascii="????" w:hAnsi="????" w:hint="eastAsia"/>
                <w:color w:val="333333"/>
                <w:sz w:val="24"/>
                <w:szCs w:val="24"/>
              </w:rPr>
              <w:t>房价总体平稳。</w:t>
            </w:r>
          </w:p>
          <w:p w:rsidR="00251BF7" w:rsidRPr="00F50D00" w:rsidRDefault="00860E4F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二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FE2E1D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2015年1-2月公司销售情况及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公司在售、未售的项目</w:t>
            </w:r>
          </w:p>
          <w:p w:rsidR="00AB6D35" w:rsidRPr="00F34295" w:rsidRDefault="00251BF7" w:rsidP="00F34295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公司截止2月底的</w:t>
            </w:r>
            <w:r w:rsidR="002B11E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累计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销售金额为26.33亿元（含协议金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额）</w:t>
            </w:r>
            <w:r w:rsidR="00A6462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其中代建</w:t>
            </w:r>
            <w:r w:rsidR="00AE7A3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项目销售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金额</w:t>
            </w:r>
            <w:r w:rsidR="00E27B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9.13</w:t>
            </w:r>
            <w:r w:rsidR="00AE7A3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亿元。</w:t>
            </w:r>
            <w:r w:rsidR="00572BD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我们目前未售的项目有华家池项目、萧山东方海岸项目以及我们今年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在杭州</w:t>
            </w:r>
            <w:r w:rsidR="00572BD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新拿的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（2015）3号地块，</w:t>
            </w:r>
            <w:r w:rsidR="00A739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除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这些项目外，其它</w:t>
            </w:r>
            <w:r w:rsidR="001E7CB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在售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</w:t>
            </w:r>
            <w:r w:rsidR="001E7CB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主要有</w:t>
            </w:r>
            <w:r w:rsidR="00C6416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武林壹号、湘湖壹号、城市之星、西溪明珠、金色黎明、金色江南、万家星城及千岛湖东方海岸、上虞城市之星、绍兴金色蓝庭</w:t>
            </w:r>
            <w:r w:rsidR="00906F7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、衢州</w:t>
            </w:r>
            <w:r w:rsidR="002B11E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月亮湾</w:t>
            </w:r>
            <w:r w:rsidR="00906F7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和平湖万家花城</w:t>
            </w:r>
            <w:r w:rsidR="004F6C3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AB6D35" w:rsidRDefault="00AB6D35" w:rsidP="00AB6D3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</w:t>
            </w:r>
            <w:r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公司2015年计划交付的项目</w:t>
            </w:r>
          </w:p>
          <w:p w:rsidR="00C64165" w:rsidRPr="00F34295" w:rsidRDefault="0071080C" w:rsidP="00342B5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</w:t>
            </w:r>
            <w:r w:rsidRPr="006B03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公司今年计划竣工交付的项目主要有</w:t>
            </w:r>
            <w:r w:rsidR="00AB6D3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城市之星和万家星城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尾盘、</w:t>
            </w:r>
            <w:r w:rsidR="00AB6D3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武林壹号的</w:t>
            </w:r>
            <w:r w:rsidR="00E27B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部分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AB6D3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湘湖壹号的部分、金色黎明二期、绍兴金色蓝庭和上虞城市之星的部分。</w:t>
            </w:r>
          </w:p>
          <w:p w:rsidR="00254AB3" w:rsidRPr="002037B7" w:rsidRDefault="00AB6D35" w:rsidP="00342B5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254AB3" w:rsidRPr="002037B7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 公司代建业务的发展</w:t>
            </w:r>
          </w:p>
          <w:p w:rsidR="00CF7F90" w:rsidRDefault="00254AB3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 </w:t>
            </w:r>
            <w:r w:rsidR="00F34295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公司会积极拓展代建业务，并将继续秉承谨慎原则选择代建项目，以更好地实现公司品牌溢价，增加公司的利润来源。代建业务无需公司资金投入，公司通过管理输出获取稳定的代建管理费。</w:t>
            </w:r>
            <w:r w:rsid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目前公司</w:t>
            </w:r>
            <w:r w:rsidR="00E27B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累计代建管理费约9亿元。</w:t>
            </w:r>
            <w:r w:rsidR="00DB5E8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未来公司会保持代建业务的可持续发展。</w:t>
            </w:r>
          </w:p>
          <w:p w:rsidR="00CF7F90" w:rsidRPr="00CF7F90" w:rsidRDefault="00D52EFB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</w:t>
            </w:r>
            <w:r w:rsidR="00CF7F90" w:rsidRPr="00CF7F9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、公司发展规划</w:t>
            </w:r>
          </w:p>
          <w:p w:rsidR="00415903" w:rsidRDefault="00CF7F90" w:rsidP="00F342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在房地产开发经营方面，今后，公司项目的结构将由3个1/3组成，即1/3多的项目由公司自己拿地并开发销售；1/3与其他公司合作拿地建设；1/3为其他公司代建项目。</w:t>
            </w:r>
            <w:r w:rsidR="00326C3F"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作为</w:t>
            </w:r>
            <w:r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一家具有20多年开发经验的专业房地产企业，公司将充分发挥专业开发商的开发、运营、管理能力和品牌优势，逐步由自主开发转向品牌输出，从重资产向轻资产经营模式转变，</w:t>
            </w:r>
            <w:r w:rsidRPr="00326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以顺应行业的发展趋势。我们将围绕主业进行新的布局和开拓，公司</w:t>
            </w:r>
            <w:r w:rsidR="004159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已签署海外投资意向协议，并计划布局</w:t>
            </w:r>
            <w:r w:rsidRPr="00326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小镇建设</w:t>
            </w:r>
            <w:r w:rsidR="00420C4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D52EFB" w:rsidRDefault="00326C3F" w:rsidP="00F342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326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在做好房地产开发经营、保持市场份额和产品竞争力的基础上，</w:t>
            </w:r>
            <w:r w:rsidR="00420C4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326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积极规划对互联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网或与互联网相关的产业做长期的投资</w:t>
            </w:r>
            <w:r w:rsidRPr="00326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，进一步增强公司的可持续发展能力。</w:t>
            </w:r>
          </w:p>
          <w:p w:rsidR="00D52EFB" w:rsidRDefault="00D52EFB" w:rsidP="00D52EFB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六、公司海外拓展情况</w:t>
            </w:r>
          </w:p>
          <w:p w:rsidR="00D52EFB" w:rsidRDefault="00D52EFB" w:rsidP="00D52EFB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lastRenderedPageBreak/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我们在今年2月份签订了两份海外投资意向协议，意向投资项目位于纽约和西雅图。对于纽约的项目，我们计划在项目的开发股权中投入1040万元美金，就西雅图的三个项目，公司计划投资合计6000万美元。</w:t>
            </w:r>
          </w:p>
          <w:p w:rsidR="00CE1678" w:rsidRPr="00CE1678" w:rsidRDefault="00CE1678" w:rsidP="00A672A7">
            <w:pPr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F34295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054E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F3429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64" w:rsidRDefault="007A7C64">
      <w:r>
        <w:separator/>
      </w:r>
    </w:p>
  </w:endnote>
  <w:endnote w:type="continuationSeparator" w:id="1">
    <w:p w:rsidR="007A7C64" w:rsidRDefault="007A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EE29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EE299F">
    <w:pPr>
      <w:pStyle w:val="a5"/>
      <w:framePr w:wrap="around" w:vAnchor="text" w:hAnchor="margin" w:xAlign="center" w:y="1"/>
      <w:rPr>
        <w:rStyle w:val="a8"/>
      </w:rPr>
    </w:pPr>
    <w:fldSimple w:instr="PAGE  ">
      <w:r w:rsidR="004F6C3B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64" w:rsidRDefault="007A7C64">
      <w:r>
        <w:separator/>
      </w:r>
    </w:p>
  </w:footnote>
  <w:footnote w:type="continuationSeparator" w:id="1">
    <w:p w:rsidR="007A7C64" w:rsidRDefault="007A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8"/>
    <w:rsid w:val="00033B8D"/>
    <w:rsid w:val="00033C7D"/>
    <w:rsid w:val="00040684"/>
    <w:rsid w:val="00040FD4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B0F06"/>
    <w:rsid w:val="000B6ECE"/>
    <w:rsid w:val="000B7354"/>
    <w:rsid w:val="000C4A9A"/>
    <w:rsid w:val="000C4C70"/>
    <w:rsid w:val="000D3C22"/>
    <w:rsid w:val="000D7AE3"/>
    <w:rsid w:val="000E1F0C"/>
    <w:rsid w:val="000E4CF4"/>
    <w:rsid w:val="000F3B97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390D"/>
    <w:rsid w:val="001748BE"/>
    <w:rsid w:val="00177BDD"/>
    <w:rsid w:val="001827A3"/>
    <w:rsid w:val="00182B67"/>
    <w:rsid w:val="001A05F4"/>
    <w:rsid w:val="001B4874"/>
    <w:rsid w:val="001C168D"/>
    <w:rsid w:val="001C19F2"/>
    <w:rsid w:val="001C6A73"/>
    <w:rsid w:val="001D0E99"/>
    <w:rsid w:val="001D4B33"/>
    <w:rsid w:val="001E0CFB"/>
    <w:rsid w:val="001E7CBB"/>
    <w:rsid w:val="001F093B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65129"/>
    <w:rsid w:val="0027485B"/>
    <w:rsid w:val="00275871"/>
    <w:rsid w:val="002918EE"/>
    <w:rsid w:val="00292080"/>
    <w:rsid w:val="002965B3"/>
    <w:rsid w:val="002A6E47"/>
    <w:rsid w:val="002A6FAE"/>
    <w:rsid w:val="002B11EC"/>
    <w:rsid w:val="002B4AC5"/>
    <w:rsid w:val="002B60E0"/>
    <w:rsid w:val="002B6E6E"/>
    <w:rsid w:val="002C140B"/>
    <w:rsid w:val="002C67B6"/>
    <w:rsid w:val="002D16B5"/>
    <w:rsid w:val="002D6B05"/>
    <w:rsid w:val="002D7D56"/>
    <w:rsid w:val="002E3572"/>
    <w:rsid w:val="002E5D52"/>
    <w:rsid w:val="002E7A44"/>
    <w:rsid w:val="002F0D71"/>
    <w:rsid w:val="00303CEF"/>
    <w:rsid w:val="00305AF2"/>
    <w:rsid w:val="0031039D"/>
    <w:rsid w:val="00313B3E"/>
    <w:rsid w:val="00315C91"/>
    <w:rsid w:val="0032314C"/>
    <w:rsid w:val="00324DB1"/>
    <w:rsid w:val="00326C3F"/>
    <w:rsid w:val="003373D1"/>
    <w:rsid w:val="00340F93"/>
    <w:rsid w:val="00342B59"/>
    <w:rsid w:val="003501E1"/>
    <w:rsid w:val="00353DB8"/>
    <w:rsid w:val="00364D41"/>
    <w:rsid w:val="00372FC0"/>
    <w:rsid w:val="00373432"/>
    <w:rsid w:val="00375C05"/>
    <w:rsid w:val="003761A3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09A2"/>
    <w:rsid w:val="00413060"/>
    <w:rsid w:val="0041568F"/>
    <w:rsid w:val="00415903"/>
    <w:rsid w:val="0042051A"/>
    <w:rsid w:val="00420C44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38DE"/>
    <w:rsid w:val="00472862"/>
    <w:rsid w:val="0048001C"/>
    <w:rsid w:val="00480DE3"/>
    <w:rsid w:val="00483879"/>
    <w:rsid w:val="00492F9D"/>
    <w:rsid w:val="004950F8"/>
    <w:rsid w:val="00495325"/>
    <w:rsid w:val="004A480D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5F18"/>
    <w:rsid w:val="004E684C"/>
    <w:rsid w:val="004E7445"/>
    <w:rsid w:val="004F0E18"/>
    <w:rsid w:val="004F2FE3"/>
    <w:rsid w:val="004F30FB"/>
    <w:rsid w:val="004F6C3B"/>
    <w:rsid w:val="00503E05"/>
    <w:rsid w:val="00506EB3"/>
    <w:rsid w:val="00511622"/>
    <w:rsid w:val="00513DF8"/>
    <w:rsid w:val="00522556"/>
    <w:rsid w:val="00533ECE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C3967"/>
    <w:rsid w:val="005D0B94"/>
    <w:rsid w:val="005D0CB2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552B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10BF"/>
    <w:rsid w:val="006820E3"/>
    <w:rsid w:val="00690037"/>
    <w:rsid w:val="00694CFC"/>
    <w:rsid w:val="006A3C0A"/>
    <w:rsid w:val="006A3C35"/>
    <w:rsid w:val="006A6715"/>
    <w:rsid w:val="006B035B"/>
    <w:rsid w:val="006B0A99"/>
    <w:rsid w:val="006B146D"/>
    <w:rsid w:val="006B18E5"/>
    <w:rsid w:val="006B4C77"/>
    <w:rsid w:val="006B798E"/>
    <w:rsid w:val="006C6786"/>
    <w:rsid w:val="006D0F39"/>
    <w:rsid w:val="006E19C0"/>
    <w:rsid w:val="006E4423"/>
    <w:rsid w:val="006E60D8"/>
    <w:rsid w:val="006F444F"/>
    <w:rsid w:val="006F5AE2"/>
    <w:rsid w:val="0070514E"/>
    <w:rsid w:val="007070A3"/>
    <w:rsid w:val="0071080C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19E"/>
    <w:rsid w:val="0079769C"/>
    <w:rsid w:val="007A1E7A"/>
    <w:rsid w:val="007A6778"/>
    <w:rsid w:val="007A7C64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54245"/>
    <w:rsid w:val="008546CF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06F7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94B9E"/>
    <w:rsid w:val="009A1DD0"/>
    <w:rsid w:val="009A463B"/>
    <w:rsid w:val="009B2FCD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80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3759"/>
    <w:rsid w:val="00A579E0"/>
    <w:rsid w:val="00A57A99"/>
    <w:rsid w:val="00A62535"/>
    <w:rsid w:val="00A62655"/>
    <w:rsid w:val="00A6462E"/>
    <w:rsid w:val="00A66C4F"/>
    <w:rsid w:val="00A672A7"/>
    <w:rsid w:val="00A71FDA"/>
    <w:rsid w:val="00A72A2E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688F"/>
    <w:rsid w:val="00AB6C5C"/>
    <w:rsid w:val="00AB6D35"/>
    <w:rsid w:val="00AC3CED"/>
    <w:rsid w:val="00AC648E"/>
    <w:rsid w:val="00AD28BC"/>
    <w:rsid w:val="00AE7A32"/>
    <w:rsid w:val="00B01F05"/>
    <w:rsid w:val="00B03519"/>
    <w:rsid w:val="00B107CD"/>
    <w:rsid w:val="00B12284"/>
    <w:rsid w:val="00B16A46"/>
    <w:rsid w:val="00B31096"/>
    <w:rsid w:val="00B32CD7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CF9"/>
    <w:rsid w:val="00B866DD"/>
    <w:rsid w:val="00B873B9"/>
    <w:rsid w:val="00B87FA8"/>
    <w:rsid w:val="00B90D71"/>
    <w:rsid w:val="00B940D6"/>
    <w:rsid w:val="00B96803"/>
    <w:rsid w:val="00B978A1"/>
    <w:rsid w:val="00BA45D4"/>
    <w:rsid w:val="00BB0EB6"/>
    <w:rsid w:val="00BC71F6"/>
    <w:rsid w:val="00BD3317"/>
    <w:rsid w:val="00BD34F7"/>
    <w:rsid w:val="00BD3941"/>
    <w:rsid w:val="00BD6575"/>
    <w:rsid w:val="00BE5D6C"/>
    <w:rsid w:val="00BE5F36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64165"/>
    <w:rsid w:val="00C75974"/>
    <w:rsid w:val="00C76347"/>
    <w:rsid w:val="00C8338F"/>
    <w:rsid w:val="00C84AEA"/>
    <w:rsid w:val="00C86ABB"/>
    <w:rsid w:val="00C86B4B"/>
    <w:rsid w:val="00C941B1"/>
    <w:rsid w:val="00CA2FA1"/>
    <w:rsid w:val="00CA443B"/>
    <w:rsid w:val="00CA588B"/>
    <w:rsid w:val="00CB2B59"/>
    <w:rsid w:val="00CC01D1"/>
    <w:rsid w:val="00CC2213"/>
    <w:rsid w:val="00CC5B20"/>
    <w:rsid w:val="00CC5CAB"/>
    <w:rsid w:val="00CD2750"/>
    <w:rsid w:val="00CE1678"/>
    <w:rsid w:val="00CE614B"/>
    <w:rsid w:val="00CF1A5D"/>
    <w:rsid w:val="00CF7B54"/>
    <w:rsid w:val="00CF7F90"/>
    <w:rsid w:val="00D01135"/>
    <w:rsid w:val="00D036F3"/>
    <w:rsid w:val="00D04328"/>
    <w:rsid w:val="00D04A16"/>
    <w:rsid w:val="00D0752D"/>
    <w:rsid w:val="00D075EC"/>
    <w:rsid w:val="00D16445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7D2"/>
    <w:rsid w:val="00DB485A"/>
    <w:rsid w:val="00DB52D1"/>
    <w:rsid w:val="00DB5E8B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E00067"/>
    <w:rsid w:val="00E015CD"/>
    <w:rsid w:val="00E02C3C"/>
    <w:rsid w:val="00E03C20"/>
    <w:rsid w:val="00E04F0E"/>
    <w:rsid w:val="00E23278"/>
    <w:rsid w:val="00E26561"/>
    <w:rsid w:val="00E27BC6"/>
    <w:rsid w:val="00E305F5"/>
    <w:rsid w:val="00E445F7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7C47"/>
    <w:rsid w:val="00EA33DA"/>
    <w:rsid w:val="00EA5D19"/>
    <w:rsid w:val="00EB2FB1"/>
    <w:rsid w:val="00EB31D2"/>
    <w:rsid w:val="00EC20A7"/>
    <w:rsid w:val="00EC51B6"/>
    <w:rsid w:val="00ED3E4C"/>
    <w:rsid w:val="00EE299F"/>
    <w:rsid w:val="00EE2DB1"/>
    <w:rsid w:val="00EE3F94"/>
    <w:rsid w:val="00EE788B"/>
    <w:rsid w:val="00EF4B17"/>
    <w:rsid w:val="00F01A97"/>
    <w:rsid w:val="00F07118"/>
    <w:rsid w:val="00F14826"/>
    <w:rsid w:val="00F15287"/>
    <w:rsid w:val="00F15A38"/>
    <w:rsid w:val="00F209F6"/>
    <w:rsid w:val="00F34295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48E7"/>
    <w:rsid w:val="00F7590B"/>
    <w:rsid w:val="00F9695B"/>
    <w:rsid w:val="00F973DA"/>
    <w:rsid w:val="00F97B56"/>
    <w:rsid w:val="00FA346E"/>
    <w:rsid w:val="00FA38FA"/>
    <w:rsid w:val="00FA734A"/>
    <w:rsid w:val="00FB0B6D"/>
    <w:rsid w:val="00FB139E"/>
    <w:rsid w:val="00FB1F83"/>
    <w:rsid w:val="00FB6813"/>
    <w:rsid w:val="00FB7CEE"/>
    <w:rsid w:val="00FD2E1E"/>
    <w:rsid w:val="00FD5220"/>
    <w:rsid w:val="00FE11A9"/>
    <w:rsid w:val="00FE2E1D"/>
    <w:rsid w:val="00FE3AA8"/>
    <w:rsid w:val="00FE76CD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232</Words>
  <Characters>1323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30</cp:revision>
  <cp:lastPrinted>2015-01-08T04:00:00Z</cp:lastPrinted>
  <dcterms:created xsi:type="dcterms:W3CDTF">2015-03-12T07:38:00Z</dcterms:created>
  <dcterms:modified xsi:type="dcterms:W3CDTF">2015-03-13T07:57:00Z</dcterms:modified>
</cp:coreProperties>
</file>