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10" w:rsidRPr="0005090F" w:rsidRDefault="00EE1C10" w:rsidP="00845B88">
      <w:pPr>
        <w:spacing w:beforeLines="50" w:afterLines="50" w:line="400" w:lineRule="exact"/>
        <w:rPr>
          <w:rFonts w:ascii="Times" w:hAnsi="Times"/>
          <w:bCs/>
          <w:iCs/>
          <w:color w:val="000000"/>
          <w:sz w:val="24"/>
        </w:rPr>
      </w:pPr>
      <w:r w:rsidRPr="0005090F">
        <w:rPr>
          <w:rFonts w:ascii="Times" w:hAnsi="Times" w:hint="eastAsia"/>
          <w:bCs/>
          <w:iCs/>
          <w:color w:val="000000"/>
          <w:sz w:val="24"/>
        </w:rPr>
        <w:t>证券代码：</w:t>
      </w:r>
      <w:r w:rsidRPr="0005090F">
        <w:rPr>
          <w:rFonts w:ascii="Times" w:hAnsi="Times" w:hint="eastAsia"/>
          <w:bCs/>
          <w:iCs/>
          <w:color w:val="000000"/>
          <w:sz w:val="24"/>
        </w:rPr>
        <w:t xml:space="preserve">000001                                  </w:t>
      </w:r>
      <w:r w:rsidRPr="0005090F">
        <w:rPr>
          <w:rFonts w:ascii="Times" w:hAnsi="Times" w:hint="eastAsia"/>
          <w:bCs/>
          <w:iCs/>
          <w:color w:val="000000"/>
          <w:sz w:val="24"/>
        </w:rPr>
        <w:t>证券简称：</w:t>
      </w:r>
      <w:r w:rsidR="00D96584" w:rsidRPr="0005090F">
        <w:rPr>
          <w:rFonts w:ascii="Times" w:hAnsi="Times" w:hint="eastAsia"/>
          <w:bCs/>
          <w:iCs/>
          <w:color w:val="000000"/>
          <w:sz w:val="24"/>
        </w:rPr>
        <w:t>平安银行</w:t>
      </w:r>
    </w:p>
    <w:p w:rsidR="00EE1C10" w:rsidRPr="0005090F" w:rsidRDefault="003317E5" w:rsidP="00845B88">
      <w:pPr>
        <w:spacing w:beforeLines="50" w:afterLines="50" w:line="400" w:lineRule="exact"/>
        <w:jc w:val="center"/>
        <w:rPr>
          <w:rFonts w:ascii="Times" w:hAnsi="Times"/>
          <w:b/>
          <w:bCs/>
          <w:iCs/>
          <w:color w:val="000000"/>
          <w:sz w:val="32"/>
          <w:szCs w:val="32"/>
        </w:rPr>
      </w:pPr>
      <w:r w:rsidRPr="0005090F">
        <w:rPr>
          <w:rFonts w:ascii="Times" w:hAnsi="Times" w:hint="eastAsia"/>
          <w:b/>
          <w:bCs/>
          <w:iCs/>
          <w:color w:val="000000"/>
          <w:sz w:val="32"/>
          <w:szCs w:val="32"/>
        </w:rPr>
        <w:t>平安</w:t>
      </w:r>
      <w:r w:rsidR="00EE1C10" w:rsidRPr="0005090F">
        <w:rPr>
          <w:rFonts w:ascii="Times" w:hAnsi="Times" w:hint="eastAsia"/>
          <w:b/>
          <w:bCs/>
          <w:iCs/>
          <w:color w:val="000000"/>
          <w:sz w:val="32"/>
          <w:szCs w:val="32"/>
        </w:rPr>
        <w:t>银行股份有限公司投资者关系活动记录表</w:t>
      </w:r>
    </w:p>
    <w:p w:rsidR="00EE1C10" w:rsidRPr="0005090F" w:rsidRDefault="00EE1C10" w:rsidP="00EE1C10">
      <w:pPr>
        <w:spacing w:line="400" w:lineRule="exact"/>
        <w:rPr>
          <w:rFonts w:ascii="Times" w:hAnsi="Times"/>
          <w:bCs/>
          <w:iCs/>
          <w:color w:val="000000"/>
          <w:sz w:val="24"/>
        </w:rPr>
      </w:pPr>
      <w:r w:rsidRPr="0005090F">
        <w:rPr>
          <w:rFonts w:ascii="Times" w:hAnsi="Times" w:hint="eastAsia"/>
          <w:bCs/>
          <w:iCs/>
          <w:color w:val="000000"/>
          <w:sz w:val="24"/>
        </w:rPr>
        <w:t xml:space="preserve">                                                         </w:t>
      </w:r>
      <w:r w:rsidRPr="0005090F">
        <w:rPr>
          <w:rFonts w:ascii="Times" w:hAnsi="Times" w:hint="eastAsia"/>
          <w:bCs/>
          <w:iCs/>
          <w:color w:val="000000"/>
          <w:sz w:val="24"/>
        </w:rPr>
        <w:t>编号：</w:t>
      </w:r>
    </w:p>
    <w:tbl>
      <w:tblPr>
        <w:tblStyle w:val="a3"/>
        <w:tblW w:w="0" w:type="auto"/>
        <w:tblLook w:val="01E0"/>
      </w:tblPr>
      <w:tblGrid>
        <w:gridCol w:w="1908"/>
        <w:gridCol w:w="6614"/>
      </w:tblGrid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FF0263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sym w:font="Wingdings" w:char="F0FE"/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特定对象调研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 xml:space="preserve">        </w:t>
            </w:r>
            <w:r w:rsidR="00EE1C10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分析师会议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媒体采访</w:t>
            </w:r>
            <w:r w:rsidRPr="0005090F">
              <w:rPr>
                <w:rFonts w:ascii="Times" w:hAnsi="Times" w:hint="eastAsia"/>
                <w:sz w:val="28"/>
                <w:szCs w:val="28"/>
              </w:rPr>
              <w:t xml:space="preserve">            </w:t>
            </w:r>
            <w:r w:rsidR="00FF0263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业绩说明会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新闻发布会</w:t>
            </w:r>
            <w:r w:rsidRPr="0005090F">
              <w:rPr>
                <w:rFonts w:ascii="Times" w:hAnsi="Times" w:hint="eastAsia"/>
                <w:sz w:val="28"/>
                <w:szCs w:val="28"/>
              </w:rPr>
              <w:t xml:space="preserve">          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路演活动</w:t>
            </w:r>
          </w:p>
          <w:p w:rsidR="00EE1C10" w:rsidRPr="0005090F" w:rsidRDefault="00EE1C10" w:rsidP="008F16A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Pr="0005090F">
              <w:rPr>
                <w:rFonts w:ascii="Times" w:hAnsi="Times" w:hint="eastAsia"/>
                <w:sz w:val="28"/>
                <w:szCs w:val="28"/>
              </w:rPr>
              <w:t>现场参观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ab/>
            </w:r>
          </w:p>
          <w:p w:rsidR="00EE1C10" w:rsidRPr="0005090F" w:rsidRDefault="00217D1A" w:rsidP="00217D1A">
            <w:pPr>
              <w:tabs>
                <w:tab w:val="center" w:pos="3199"/>
              </w:tabs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□</w:t>
            </w:r>
            <w:r w:rsidR="00EE1C10" w:rsidRPr="0005090F">
              <w:rPr>
                <w:rFonts w:ascii="Times" w:hAnsi="Times" w:hint="eastAsia"/>
                <w:sz w:val="28"/>
                <w:szCs w:val="28"/>
              </w:rPr>
              <w:t>其他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B708D6" w:rsidP="00B84A84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 w:hint="eastAsia"/>
                <w:bCs/>
                <w:iCs/>
                <w:color w:val="000000"/>
                <w:sz w:val="24"/>
              </w:rPr>
              <w:t>惠誉评级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43629D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</w:t>
            </w:r>
            <w:r w:rsidR="00B84A84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4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年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10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月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28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B708D6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 w:hint="eastAsia"/>
                <w:bCs/>
                <w:iCs/>
                <w:color w:val="000000"/>
                <w:sz w:val="24"/>
              </w:rPr>
              <w:t>北京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B708D6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>
              <w:rPr>
                <w:rFonts w:ascii="Times" w:hAnsi="Times" w:hint="eastAsia"/>
                <w:bCs/>
                <w:iCs/>
                <w:color w:val="000000"/>
                <w:sz w:val="24"/>
              </w:rPr>
              <w:t>公司高管、</w:t>
            </w:r>
            <w:r w:rsidR="00FF0263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董事会办公室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B708D6" w:rsidRPr="00B708D6" w:rsidRDefault="00B708D6" w:rsidP="00B708D6">
            <w:pPr>
              <w:pStyle w:val="32"/>
              <w:numPr>
                <w:ilvl w:val="0"/>
                <w:numId w:val="15"/>
              </w:numPr>
              <w:spacing w:before="156" w:after="156" w:line="276" w:lineRule="auto"/>
              <w:rPr>
                <w:rFonts w:asciiTheme="minorEastAsia" w:eastAsiaTheme="minorEastAsia" w:hAnsiTheme="minorEastAsia" w:cs="华文细黑" w:hint="default"/>
              </w:rPr>
            </w:pPr>
            <w:r w:rsidRPr="00B708D6">
              <w:rPr>
                <w:rFonts w:asciiTheme="minorEastAsia" w:eastAsiaTheme="minorEastAsia" w:hAnsiTheme="minorEastAsia"/>
              </w:rPr>
              <w:t>银行未来两年的发展战略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平安银行的战略目标是成为“中国最佳的商业银行”，有以下几层含义：一资本回报率优于同业、规模保持快的增长速度、资产质量有保障、拥有一支优秀的团队。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具体来说：</w:t>
            </w:r>
            <w:r w:rsidRPr="00B708D6">
              <w:rPr>
                <w:rFonts w:asciiTheme="minorEastAsia" w:eastAsiaTheme="minorEastAsia" w:hAnsiTheme="minorEastAsia" w:cs="Arial Unicode MS"/>
              </w:rPr>
              <w:t>3-5</w:t>
            </w:r>
            <w:r w:rsidRPr="00B708D6">
              <w:rPr>
                <w:rFonts w:asciiTheme="minorEastAsia" w:eastAsiaTheme="minorEastAsia" w:hAnsiTheme="minorEastAsia"/>
              </w:rPr>
              <w:t>年内以公司业务为主，同时大力发展零售业务，进入股份制银行第二梯队（目前平安已经远超华夏，在对公业务方面与光大的差距已经非常接近）；</w:t>
            </w:r>
            <w:r w:rsidRPr="00B708D6">
              <w:rPr>
                <w:rFonts w:asciiTheme="minorEastAsia" w:eastAsiaTheme="minorEastAsia" w:hAnsiTheme="minorEastAsia" w:cs="Arial Unicode MS"/>
              </w:rPr>
              <w:t>5-8</w:t>
            </w:r>
            <w:r w:rsidRPr="00B708D6">
              <w:rPr>
                <w:rFonts w:asciiTheme="minorEastAsia" w:eastAsiaTheme="minorEastAsia" w:hAnsiTheme="minorEastAsia"/>
              </w:rPr>
              <w:t>年，公司、零售均衡发展，进入股份制银行第一梯队（进入第一梯队的评判标准很多，规模不是唯一指标，最重要的是回报率）；</w:t>
            </w:r>
            <w:r w:rsidRPr="00B708D6">
              <w:rPr>
                <w:rFonts w:asciiTheme="minorEastAsia" w:eastAsiaTheme="minorEastAsia" w:hAnsiTheme="minorEastAsia" w:cs="Arial Unicode MS"/>
              </w:rPr>
              <w:t>8</w:t>
            </w:r>
            <w:r w:rsidRPr="00B708D6">
              <w:rPr>
                <w:rFonts w:asciiTheme="minorEastAsia" w:eastAsiaTheme="minorEastAsia" w:hAnsiTheme="minorEastAsia"/>
              </w:rPr>
              <w:t>年后以零售为主。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目前平安银行的公司业务在行业中已经较有竞争力了，引起了很多同业的重视，目前零售业务也在加快发展过程中。</w:t>
            </w:r>
          </w:p>
          <w:p w:rsidR="00B708D6" w:rsidRPr="00B708D6" w:rsidRDefault="00B708D6" w:rsidP="00B708D6">
            <w:pPr>
              <w:pStyle w:val="32"/>
              <w:numPr>
                <w:ilvl w:val="0"/>
                <w:numId w:val="12"/>
              </w:numPr>
              <w:tabs>
                <w:tab w:val="num" w:pos="411"/>
              </w:tabs>
              <w:spacing w:before="156" w:after="156" w:line="276" w:lineRule="auto"/>
              <w:ind w:left="411" w:hanging="411"/>
              <w:rPr>
                <w:rFonts w:asciiTheme="minorEastAsia" w:eastAsiaTheme="minorEastAsia" w:hAnsiTheme="minorEastAsia" w:cs="华文细黑" w:hint="default"/>
              </w:rPr>
            </w:pPr>
            <w:r w:rsidRPr="00B708D6">
              <w:rPr>
                <w:rFonts w:asciiTheme="minorEastAsia" w:eastAsiaTheme="minorEastAsia" w:hAnsiTheme="minorEastAsia"/>
              </w:rPr>
              <w:t>经济下行时小商户受影响大，平安银行的考虑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这个说法不对。风险大的是制造业，不是小微商户。平安做的小微商户是弱周期消费类的客户。对于制造业小企业和生产资料经销商则坚决退</w:t>
            </w:r>
            <w:r w:rsidRPr="00B708D6">
              <w:rPr>
                <w:rFonts w:asciiTheme="minorEastAsia" w:eastAsiaTheme="minorEastAsia" w:hAnsiTheme="minorEastAsia"/>
              </w:rPr>
              <w:lastRenderedPageBreak/>
              <w:t>出。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小企业可以分为以下几类：一、小型制造业，技术落后、管理水平低下、规模效益差，平安银行坚决不做；二、小型生产资料经营企业，例如钢贸、煤贸等，也坚决不做；三、衣食住行弱周期行业，平安银行重点支持。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在业务推广方面，坚持批量开发市场、商圈，不做零售。</w:t>
            </w:r>
          </w:p>
          <w:p w:rsidR="00B708D6" w:rsidRPr="00B708D6" w:rsidRDefault="00B708D6" w:rsidP="00B708D6">
            <w:pPr>
              <w:pStyle w:val="32"/>
              <w:numPr>
                <w:ilvl w:val="0"/>
                <w:numId w:val="12"/>
              </w:numPr>
              <w:spacing w:before="156" w:after="156" w:line="276" w:lineRule="auto"/>
              <w:ind w:left="720" w:hanging="720"/>
              <w:rPr>
                <w:rFonts w:asciiTheme="minorEastAsia" w:eastAsiaTheme="minorEastAsia" w:hAnsiTheme="minorEastAsia" w:cs="华文细黑" w:hint="default"/>
              </w:rPr>
            </w:pPr>
            <w:r w:rsidRPr="00B708D6">
              <w:rPr>
                <w:rFonts w:asciiTheme="minorEastAsia" w:eastAsiaTheme="minorEastAsia" w:hAnsiTheme="minorEastAsia"/>
              </w:rPr>
              <w:t>拨贷比和拨备覆盖率看法和计划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 w:cs="Arial Unicode MS"/>
              </w:rPr>
              <w:t>虽然目前拨贷比和拨备覆盖率与行业比还有一定差距，但是</w:t>
            </w:r>
            <w:r w:rsidRPr="00B708D6">
              <w:rPr>
                <w:rFonts w:asciiTheme="minorEastAsia" w:eastAsiaTheme="minorEastAsia" w:hAnsiTheme="minorEastAsia"/>
              </w:rPr>
              <w:t>从发展的眼光看，我行还是在不断进步的。</w:t>
            </w:r>
          </w:p>
          <w:p w:rsidR="00B708D6" w:rsidRPr="00B708D6" w:rsidRDefault="00B708D6" w:rsidP="00B708D6">
            <w:pPr>
              <w:spacing w:line="276" w:lineRule="auto"/>
              <w:ind w:firstLineChars="200" w:firstLine="400"/>
              <w:rPr>
                <w:rFonts w:asciiTheme="minorEastAsia" w:eastAsiaTheme="minorEastAsia" w:hAnsiTheme="minorEastAsia" w:cs="Calibri"/>
              </w:rPr>
            </w:pPr>
            <w:r w:rsidRPr="00B708D6">
              <w:rPr>
                <w:rFonts w:asciiTheme="minorEastAsia" w:eastAsiaTheme="minorEastAsia" w:hAnsiTheme="minorEastAsia"/>
              </w:rPr>
              <w:t>拨备计提要逐步提升，监管和内部管理需要是一致的。</w:t>
            </w:r>
          </w:p>
          <w:p w:rsidR="00217D1A" w:rsidRPr="00B708D6" w:rsidRDefault="00217D1A" w:rsidP="00845B88">
            <w:pPr>
              <w:autoSpaceDE w:val="0"/>
              <w:autoSpaceDN w:val="0"/>
              <w:adjustRightInd w:val="0"/>
              <w:snapToGrid w:val="0"/>
              <w:spacing w:beforeLines="50" w:line="288" w:lineRule="auto"/>
              <w:ind w:left="318" w:firstLineChars="200" w:firstLine="480"/>
              <w:jc w:val="left"/>
              <w:rPr>
                <w:rFonts w:ascii="Times" w:hAnsi="Times" w:cs="宋体"/>
                <w:sz w:val="24"/>
              </w:rPr>
            </w:pPr>
          </w:p>
          <w:p w:rsidR="00EE1C10" w:rsidRPr="0005090F" w:rsidRDefault="00A140B8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217D1A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2014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年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三季度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业绩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PPT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（请参见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bank.pingan.com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投资者关系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-</w:t>
            </w:r>
            <w:r w:rsidR="00D87038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公司推介栏目）</w:t>
            </w:r>
          </w:p>
        </w:tc>
      </w:tr>
      <w:tr w:rsidR="00EE1C10" w:rsidRPr="0005090F" w:rsidTr="008F16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05090F" w:rsidRDefault="00EE1C10" w:rsidP="008F16A2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05090F" w:rsidRDefault="00761259" w:rsidP="00B708D6">
            <w:pPr>
              <w:spacing w:line="480" w:lineRule="atLeast"/>
              <w:rPr>
                <w:rFonts w:ascii="Times" w:hAnsi="Times"/>
                <w:bCs/>
                <w:iCs/>
                <w:color w:val="000000"/>
                <w:sz w:val="24"/>
              </w:rPr>
            </w:pP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201</w:t>
            </w:r>
            <w:r w:rsidR="00B84A84"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4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.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10</w:t>
            </w:r>
            <w:r w:rsidRPr="0005090F">
              <w:rPr>
                <w:rFonts w:ascii="Times" w:hAnsi="Times" w:hint="eastAsia"/>
                <w:bCs/>
                <w:iCs/>
                <w:color w:val="000000"/>
                <w:sz w:val="24"/>
              </w:rPr>
              <w:t>.</w:t>
            </w:r>
            <w:r w:rsidR="00B708D6">
              <w:rPr>
                <w:rFonts w:ascii="Times" w:hAnsi="Times" w:hint="eastAsia"/>
                <w:bCs/>
                <w:iCs/>
                <w:color w:val="000000"/>
                <w:sz w:val="24"/>
              </w:rPr>
              <w:t>28</w:t>
            </w:r>
          </w:p>
        </w:tc>
      </w:tr>
    </w:tbl>
    <w:p w:rsidR="00EE1C10" w:rsidRPr="0005090F" w:rsidRDefault="00EE1C10" w:rsidP="00EE1C10">
      <w:pPr>
        <w:jc w:val="center"/>
        <w:rPr>
          <w:rFonts w:ascii="Times" w:hAnsi="Times"/>
          <w:sz w:val="28"/>
          <w:szCs w:val="28"/>
        </w:rPr>
      </w:pPr>
    </w:p>
    <w:p w:rsidR="00941F1C" w:rsidRPr="0005090F" w:rsidRDefault="00941F1C">
      <w:pPr>
        <w:rPr>
          <w:rFonts w:ascii="Times" w:hAnsi="Times"/>
        </w:rPr>
      </w:pPr>
    </w:p>
    <w:sectPr w:rsidR="00941F1C" w:rsidRPr="0005090F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5A" w:rsidRDefault="00E1525A" w:rsidP="00D96584">
      <w:r>
        <w:separator/>
      </w:r>
    </w:p>
  </w:endnote>
  <w:endnote w:type="continuationSeparator" w:id="0">
    <w:p w:rsidR="00E1525A" w:rsidRDefault="00E1525A" w:rsidP="00D9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5A" w:rsidRDefault="00E1525A" w:rsidP="00D96584">
      <w:r>
        <w:separator/>
      </w:r>
    </w:p>
  </w:footnote>
  <w:footnote w:type="continuationSeparator" w:id="0">
    <w:p w:rsidR="00E1525A" w:rsidRDefault="00E1525A" w:rsidP="00D9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7F6B72"/>
    <w:multiLevelType w:val="hybridMultilevel"/>
    <w:tmpl w:val="2524439C"/>
    <w:lvl w:ilvl="0" w:tplc="24D0BD9C">
      <w:start w:val="1"/>
      <w:numFmt w:val="decimal"/>
      <w:pStyle w:val="30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1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7D2420E2"/>
    <w:multiLevelType w:val="hybridMultilevel"/>
    <w:tmpl w:val="3E709AA6"/>
    <w:lvl w:ilvl="0" w:tplc="B0CC0572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C10"/>
    <w:rsid w:val="0005090F"/>
    <w:rsid w:val="000B3693"/>
    <w:rsid w:val="000B41B6"/>
    <w:rsid w:val="00101C48"/>
    <w:rsid w:val="00130F3C"/>
    <w:rsid w:val="0015535F"/>
    <w:rsid w:val="001B33AC"/>
    <w:rsid w:val="001B72DE"/>
    <w:rsid w:val="001C10A8"/>
    <w:rsid w:val="001D2529"/>
    <w:rsid w:val="001E2C63"/>
    <w:rsid w:val="00210939"/>
    <w:rsid w:val="00217D1A"/>
    <w:rsid w:val="003317E5"/>
    <w:rsid w:val="003B107D"/>
    <w:rsid w:val="003B721F"/>
    <w:rsid w:val="003F79D6"/>
    <w:rsid w:val="0043629D"/>
    <w:rsid w:val="00497C7E"/>
    <w:rsid w:val="004B47B1"/>
    <w:rsid w:val="0051123B"/>
    <w:rsid w:val="00535D6F"/>
    <w:rsid w:val="00550FD9"/>
    <w:rsid w:val="00622C3A"/>
    <w:rsid w:val="00623A26"/>
    <w:rsid w:val="0063326E"/>
    <w:rsid w:val="006A1753"/>
    <w:rsid w:val="006F64B3"/>
    <w:rsid w:val="00761259"/>
    <w:rsid w:val="007C213F"/>
    <w:rsid w:val="00845B88"/>
    <w:rsid w:val="008710F9"/>
    <w:rsid w:val="00880699"/>
    <w:rsid w:val="0089673B"/>
    <w:rsid w:val="008A4E3E"/>
    <w:rsid w:val="008F16A2"/>
    <w:rsid w:val="00921892"/>
    <w:rsid w:val="00930952"/>
    <w:rsid w:val="00941F1C"/>
    <w:rsid w:val="00951547"/>
    <w:rsid w:val="009F13CD"/>
    <w:rsid w:val="00A06B39"/>
    <w:rsid w:val="00A140B8"/>
    <w:rsid w:val="00AB67BB"/>
    <w:rsid w:val="00B31C4E"/>
    <w:rsid w:val="00B708D6"/>
    <w:rsid w:val="00B84A84"/>
    <w:rsid w:val="00BB741D"/>
    <w:rsid w:val="00BE11BC"/>
    <w:rsid w:val="00C12E89"/>
    <w:rsid w:val="00C35BCB"/>
    <w:rsid w:val="00C51768"/>
    <w:rsid w:val="00C81677"/>
    <w:rsid w:val="00CB4AC9"/>
    <w:rsid w:val="00D50045"/>
    <w:rsid w:val="00D87038"/>
    <w:rsid w:val="00D91B1B"/>
    <w:rsid w:val="00D96584"/>
    <w:rsid w:val="00E1525A"/>
    <w:rsid w:val="00E733AB"/>
    <w:rsid w:val="00EE1C10"/>
    <w:rsid w:val="00EE4F68"/>
    <w:rsid w:val="00EE7C01"/>
    <w:rsid w:val="00F16F75"/>
    <w:rsid w:val="00F628CA"/>
    <w:rsid w:val="00F66AD9"/>
    <w:rsid w:val="00FE4AFD"/>
    <w:rsid w:val="00FF0263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CB4AC9"/>
    <w:pPr>
      <w:widowControl/>
      <w:numPr>
        <w:numId w:val="3"/>
      </w:numPr>
      <w:tabs>
        <w:tab w:val="left" w:pos="540"/>
      </w:tabs>
      <w:overflowPunct w:val="0"/>
      <w:autoSpaceDE w:val="0"/>
      <w:autoSpaceDN w:val="0"/>
      <w:adjustRightInd w:val="0"/>
      <w:snapToGrid w:val="0"/>
      <w:spacing w:before="480" w:afterLines="50"/>
      <w:jc w:val="left"/>
      <w:textAlignment w:val="baseline"/>
      <w:outlineLvl w:val="2"/>
    </w:pPr>
    <w:rPr>
      <w:rFonts w:ascii="方正准圆_GBK_平安专用" w:eastAsia="方正准圆_GBK_平安专用" w:hAnsi="Arial"/>
      <w:b/>
      <w:bCs/>
      <w:sz w:val="24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CB4AC9"/>
    <w:rPr>
      <w:rFonts w:ascii="方正准圆_GBK_平安专用" w:eastAsia="方正准圆_GBK_平安专用" w:hAnsi="Arial" w:cs="Times New Roman"/>
      <w:b/>
      <w:bCs/>
      <w:sz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tabs>
        <w:tab w:val="clear" w:pos="540"/>
      </w:tabs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kern w:val="0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after="156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b/>
      <w:bCs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>sdb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高炼</cp:lastModifiedBy>
  <cp:revision>3</cp:revision>
  <dcterms:created xsi:type="dcterms:W3CDTF">2015-01-07T07:32:00Z</dcterms:created>
  <dcterms:modified xsi:type="dcterms:W3CDTF">2015-01-07T07:36:00Z</dcterms:modified>
</cp:coreProperties>
</file>