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05090F" w:rsidRDefault="00EE1C10" w:rsidP="00AB47CE">
      <w:pPr>
        <w:spacing w:beforeLines="50" w:afterLines="50" w:line="400" w:lineRule="exact"/>
        <w:rPr>
          <w:rFonts w:ascii="Times" w:hAnsi="Times"/>
          <w:bCs/>
          <w:iCs/>
          <w:color w:val="000000"/>
          <w:sz w:val="24"/>
        </w:rPr>
      </w:pPr>
      <w:r w:rsidRPr="0005090F">
        <w:rPr>
          <w:rFonts w:ascii="Times" w:hAnsi="Times" w:hint="eastAsia"/>
          <w:bCs/>
          <w:iCs/>
          <w:color w:val="000000"/>
          <w:sz w:val="24"/>
        </w:rPr>
        <w:t>证券代码：</w:t>
      </w:r>
      <w:r w:rsidRPr="0005090F">
        <w:rPr>
          <w:rFonts w:ascii="Times" w:hAnsi="Times" w:hint="eastAsia"/>
          <w:bCs/>
          <w:iCs/>
          <w:color w:val="000000"/>
          <w:sz w:val="24"/>
        </w:rPr>
        <w:t xml:space="preserve">000001                                  </w:t>
      </w:r>
      <w:r w:rsidRPr="0005090F">
        <w:rPr>
          <w:rFonts w:ascii="Times" w:hAnsi="Times" w:hint="eastAsia"/>
          <w:bCs/>
          <w:iCs/>
          <w:color w:val="000000"/>
          <w:sz w:val="24"/>
        </w:rPr>
        <w:t>证券简称：</w:t>
      </w:r>
      <w:r w:rsidR="00D96584" w:rsidRPr="0005090F">
        <w:rPr>
          <w:rFonts w:ascii="Times" w:hAnsi="Times" w:hint="eastAsia"/>
          <w:bCs/>
          <w:iCs/>
          <w:color w:val="000000"/>
          <w:sz w:val="24"/>
        </w:rPr>
        <w:t>平安银行</w:t>
      </w:r>
    </w:p>
    <w:p w:rsidR="00EE1C10" w:rsidRPr="0005090F" w:rsidRDefault="003317E5" w:rsidP="00AB47CE">
      <w:pPr>
        <w:spacing w:beforeLines="50" w:afterLines="50" w:line="400" w:lineRule="exact"/>
        <w:jc w:val="center"/>
        <w:rPr>
          <w:rFonts w:ascii="Times" w:hAnsi="Times"/>
          <w:b/>
          <w:bCs/>
          <w:iCs/>
          <w:color w:val="000000"/>
          <w:sz w:val="32"/>
          <w:szCs w:val="32"/>
        </w:rPr>
      </w:pPr>
      <w:r w:rsidRPr="0005090F">
        <w:rPr>
          <w:rFonts w:ascii="Times" w:hAnsi="Times" w:hint="eastAsia"/>
          <w:b/>
          <w:bCs/>
          <w:iCs/>
          <w:color w:val="000000"/>
          <w:sz w:val="32"/>
          <w:szCs w:val="32"/>
        </w:rPr>
        <w:t>平安</w:t>
      </w:r>
      <w:r w:rsidR="00EE1C10" w:rsidRPr="0005090F">
        <w:rPr>
          <w:rFonts w:ascii="Times" w:hAnsi="Times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05090F" w:rsidRDefault="00EE1C10" w:rsidP="00EE1C10">
      <w:pPr>
        <w:spacing w:line="400" w:lineRule="exact"/>
        <w:rPr>
          <w:rFonts w:ascii="Times" w:hAnsi="Times"/>
          <w:bCs/>
          <w:iCs/>
          <w:color w:val="000000"/>
          <w:sz w:val="24"/>
        </w:rPr>
      </w:pPr>
      <w:r w:rsidRPr="0005090F">
        <w:rPr>
          <w:rFonts w:ascii="Times" w:hAnsi="Times" w:hint="eastAsia"/>
          <w:bCs/>
          <w:iCs/>
          <w:color w:val="000000"/>
          <w:sz w:val="24"/>
        </w:rPr>
        <w:t xml:space="preserve">                                                         </w:t>
      </w:r>
      <w:r w:rsidRPr="0005090F">
        <w:rPr>
          <w:rFonts w:ascii="Times" w:hAnsi="Times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FF0263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05090F">
              <w:rPr>
                <w:rFonts w:ascii="Times" w:hAnsi="Times" w:hint="eastAsia"/>
                <w:sz w:val="28"/>
                <w:szCs w:val="28"/>
              </w:rPr>
              <w:t>特定对象调研</w:t>
            </w:r>
            <w:r w:rsidR="00EE1C10" w:rsidRPr="0005090F">
              <w:rPr>
                <w:rFonts w:ascii="Times" w:hAnsi="Times" w:hint="eastAsia"/>
                <w:sz w:val="28"/>
                <w:szCs w:val="28"/>
              </w:rPr>
              <w:t xml:space="preserve">        </w:t>
            </w:r>
            <w:r w:rsidR="00EE1C10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="00EE1C10" w:rsidRPr="0005090F">
              <w:rPr>
                <w:rFonts w:ascii="Times" w:hAnsi="Times" w:hint="eastAsia"/>
                <w:sz w:val="28"/>
                <w:szCs w:val="28"/>
              </w:rPr>
              <w:t>分析师会议</w:t>
            </w:r>
          </w:p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媒体采访</w:t>
            </w:r>
            <w:r w:rsidRPr="0005090F">
              <w:rPr>
                <w:rFonts w:ascii="Times" w:hAnsi="Times" w:hint="eastAsia"/>
                <w:sz w:val="28"/>
                <w:szCs w:val="28"/>
              </w:rPr>
              <w:t xml:space="preserve">            </w:t>
            </w:r>
            <w:r w:rsidR="00FF0263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业绩说明会</w:t>
            </w:r>
          </w:p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新闻发布会</w:t>
            </w:r>
            <w:r w:rsidRPr="0005090F">
              <w:rPr>
                <w:rFonts w:ascii="Times" w:hAnsi="Times" w:hint="eastAsia"/>
                <w:sz w:val="28"/>
                <w:szCs w:val="28"/>
              </w:rPr>
              <w:t xml:space="preserve">          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路演活动</w:t>
            </w:r>
          </w:p>
          <w:p w:rsidR="00EE1C10" w:rsidRPr="0005090F" w:rsidRDefault="00EE1C10" w:rsidP="008F16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现场参观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ab/>
            </w:r>
          </w:p>
          <w:p w:rsidR="00EE1C10" w:rsidRPr="0005090F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="00EE1C10" w:rsidRPr="0005090F">
              <w:rPr>
                <w:rFonts w:ascii="Times" w:hAnsi="Times" w:hint="eastAsia"/>
                <w:sz w:val="28"/>
                <w:szCs w:val="28"/>
              </w:rPr>
              <w:t>其他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FE093E" w:rsidP="00B84A84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>
              <w:rPr>
                <w:rFonts w:ascii="Times" w:hAnsi="Times" w:hint="eastAsia"/>
                <w:bCs/>
                <w:iCs/>
                <w:color w:val="000000"/>
                <w:sz w:val="24"/>
              </w:rPr>
              <w:t>穆迪</w:t>
            </w:r>
            <w:r w:rsidR="00B708D6">
              <w:rPr>
                <w:rFonts w:ascii="Times" w:hAnsi="Times" w:hint="eastAsia"/>
                <w:bCs/>
                <w:iCs/>
                <w:color w:val="000000"/>
                <w:sz w:val="24"/>
              </w:rPr>
              <w:t>评级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43629D" w:rsidP="00FE093E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201</w:t>
            </w:r>
            <w:r w:rsidR="00B84A84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4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年</w:t>
            </w:r>
            <w:r w:rsidR="00FE093E">
              <w:rPr>
                <w:rFonts w:ascii="Times" w:hAnsi="Times" w:hint="eastAsia"/>
                <w:bCs/>
                <w:iCs/>
                <w:color w:val="000000"/>
                <w:sz w:val="24"/>
              </w:rPr>
              <w:t>11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月</w:t>
            </w:r>
            <w:r w:rsidR="00FE093E">
              <w:rPr>
                <w:rFonts w:ascii="Times" w:hAnsi="Times" w:hint="eastAsia"/>
                <w:bCs/>
                <w:iCs/>
                <w:color w:val="000000"/>
                <w:sz w:val="24"/>
              </w:rPr>
              <w:t>14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FE093E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>
              <w:rPr>
                <w:rFonts w:ascii="Times" w:hAnsi="Times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FF0263" w:rsidP="00B708D6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FE093E" w:rsidRPr="00FE093E" w:rsidRDefault="00FE093E" w:rsidP="00FE093E">
            <w:pPr>
              <w:pStyle w:val="30"/>
              <w:outlineLvl w:val="2"/>
            </w:pPr>
            <w:bookmarkStart w:id="0" w:name="_Toc395379925"/>
            <w:bookmarkStart w:id="1" w:name="_Toc401597486"/>
            <w:bookmarkStart w:id="2" w:name="_Toc395379916"/>
            <w:bookmarkStart w:id="3" w:name="_Toc401597476"/>
            <w:r w:rsidRPr="00FE093E">
              <w:rPr>
                <w:rFonts w:hint="eastAsia"/>
              </w:rPr>
              <w:t>贵行的战略目标？</w:t>
            </w:r>
            <w:bookmarkEnd w:id="2"/>
            <w:r w:rsidRPr="00FE093E">
              <w:rPr>
                <w:rFonts w:hint="eastAsia"/>
              </w:rPr>
              <w:t>对零售业务的定位？</w:t>
            </w:r>
            <w:bookmarkEnd w:id="3"/>
          </w:p>
          <w:p w:rsidR="00FE093E" w:rsidRPr="00FE093E" w:rsidRDefault="00FE093E" w:rsidP="00FE093E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Theme="minorEastAsia" w:eastAsiaTheme="minorEastAsia" w:hAnsiTheme="minorEastAsia" w:cs="楷体_GB2312"/>
                <w:color w:val="000000"/>
                <w:sz w:val="24"/>
              </w:rPr>
            </w:pPr>
            <w:r w:rsidRPr="00FE093E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平安银行的</w:t>
            </w:r>
            <w:proofErr w:type="gramStart"/>
            <w:r w:rsidRPr="00FE093E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发展愿景是</w:t>
            </w:r>
            <w:proofErr w:type="gramEnd"/>
            <w:r w:rsidRPr="00FE093E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：用</w:t>
            </w:r>
            <w:r w:rsidRPr="00FE093E">
              <w:rPr>
                <w:rFonts w:asciiTheme="minorEastAsia" w:eastAsiaTheme="minorEastAsia" w:hAnsiTheme="minorEastAsia" w:cs="楷体_GB2312"/>
                <w:color w:val="000000"/>
                <w:sz w:val="24"/>
              </w:rPr>
              <w:t>8</w:t>
            </w:r>
            <w:r w:rsidRPr="00FE093E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到</w:t>
            </w:r>
            <w:r w:rsidRPr="00FE093E">
              <w:rPr>
                <w:rFonts w:asciiTheme="minorEastAsia" w:eastAsiaTheme="minorEastAsia" w:hAnsiTheme="minorEastAsia" w:cs="楷体_GB2312"/>
                <w:color w:val="000000"/>
                <w:sz w:val="24"/>
              </w:rPr>
              <w:t>10</w:t>
            </w:r>
            <w:r w:rsidRPr="00FE093E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年的时间，将平安银行建设成为“积极进取、特色鲜明、管理先进、效益最佳”的中国“最佳零售银行之一”。为了达成这一目标，2013年我行设定了分三步走的战略规划：第一步：在</w:t>
            </w:r>
            <w:r w:rsidRPr="00FE093E">
              <w:rPr>
                <w:rFonts w:asciiTheme="minorEastAsia" w:eastAsiaTheme="minorEastAsia" w:hAnsiTheme="minorEastAsia" w:cs="楷体_GB2312"/>
                <w:color w:val="000000"/>
                <w:sz w:val="24"/>
              </w:rPr>
              <w:t>3-5</w:t>
            </w:r>
            <w:r w:rsidRPr="00FE093E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年内，以对公业务为主，同时构建零售业务快速发展的强大基础，跻身股份制银行第二梯队；第二步：在</w:t>
            </w:r>
            <w:r w:rsidRPr="00FE093E">
              <w:rPr>
                <w:rFonts w:asciiTheme="minorEastAsia" w:eastAsiaTheme="minorEastAsia" w:hAnsiTheme="minorEastAsia" w:cs="楷体_GB2312"/>
                <w:color w:val="000000"/>
                <w:sz w:val="24"/>
              </w:rPr>
              <w:t>5-8</w:t>
            </w:r>
            <w:r w:rsidRPr="00FE093E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年内，以对公和零售业务并重，实现各项业务快速协调发展，跻身股份制银行第一梯队；第三步：</w:t>
            </w:r>
            <w:r w:rsidRPr="00FE093E">
              <w:rPr>
                <w:rFonts w:asciiTheme="minorEastAsia" w:eastAsiaTheme="minorEastAsia" w:hAnsiTheme="minorEastAsia" w:cs="楷体_GB2312"/>
                <w:color w:val="000000"/>
                <w:sz w:val="24"/>
              </w:rPr>
              <w:t>8</w:t>
            </w:r>
            <w:r w:rsidRPr="00FE093E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年后，使零售业务成为我行的主导业务和利润的主要来源。</w:t>
            </w:r>
          </w:p>
          <w:p w:rsidR="00FE093E" w:rsidRPr="00FE093E" w:rsidRDefault="00FE093E" w:rsidP="00FE093E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Theme="minorEastAsia" w:eastAsiaTheme="minorEastAsia" w:hAnsiTheme="minorEastAsia" w:cs="楷体_GB2312"/>
                <w:color w:val="000000"/>
                <w:sz w:val="24"/>
              </w:rPr>
            </w:pPr>
            <w:r w:rsidRPr="00FE093E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目前银行整体仍处于战略规划的第一阶段，零售业务仍在投入阶段，我行也从未放松在零售业务方面的发展，例如，目前我行零售大事业</w:t>
            </w:r>
            <w:proofErr w:type="gramStart"/>
            <w:r w:rsidRPr="00FE093E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部改革</w:t>
            </w:r>
            <w:proofErr w:type="gramEnd"/>
            <w:r w:rsidRPr="00FE093E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第一阶段顺利实施完成，</w:t>
            </w:r>
            <w:r w:rsidRPr="00FE093E">
              <w:rPr>
                <w:rFonts w:asciiTheme="minorEastAsia" w:eastAsiaTheme="minorEastAsia" w:hAnsiTheme="minorEastAsia" w:cs="楷体_GB2312"/>
                <w:color w:val="000000"/>
                <w:sz w:val="24"/>
              </w:rPr>
              <w:t>成功搭建客户迁徙平台</w:t>
            </w:r>
            <w:r w:rsidRPr="00FE093E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。在零售业务基础建设、私人银行、社区银行、手</w:t>
            </w:r>
            <w:r w:rsidRPr="00FE093E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lastRenderedPageBreak/>
              <w:t>机银行、直通银行、针对高端客户的综合金融服务等方面做了大量的投入，我行的信用卡、汽车金融、消费信贷业务、以及高端客户数量和资产规模的增长等指标也出现了可喜的增长。</w:t>
            </w:r>
          </w:p>
          <w:p w:rsidR="00FE093E" w:rsidRPr="00FE093E" w:rsidRDefault="00FE093E" w:rsidP="00FE093E">
            <w:pPr>
              <w:pStyle w:val="30"/>
              <w:outlineLvl w:val="2"/>
            </w:pPr>
            <w:r w:rsidRPr="00FE093E">
              <w:t>2014</w:t>
            </w:r>
            <w:r w:rsidRPr="00FE093E">
              <w:rPr>
                <w:rFonts w:hint="eastAsia"/>
              </w:rPr>
              <w:t>年三季度总存款强劲增长的动力是什么？</w:t>
            </w:r>
            <w:bookmarkEnd w:id="0"/>
            <w:r w:rsidRPr="00FE093E">
              <w:rPr>
                <w:rFonts w:hint="eastAsia"/>
              </w:rPr>
              <w:t>未来趋势？</w:t>
            </w:r>
            <w:bookmarkEnd w:id="1"/>
            <w:r w:rsidRPr="00FE093E">
              <w:t xml:space="preserve"> </w:t>
            </w:r>
          </w:p>
          <w:p w:rsidR="00FE093E" w:rsidRPr="00FE093E" w:rsidRDefault="00FE093E" w:rsidP="00FE093E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Theme="minorEastAsia" w:eastAsiaTheme="minorEastAsia" w:hAnsiTheme="minorEastAsia" w:cs="楷体_GB2312"/>
                <w:color w:val="000000"/>
                <w:sz w:val="24"/>
              </w:rPr>
            </w:pPr>
            <w:r w:rsidRPr="00FE093E">
              <w:rPr>
                <w:rFonts w:asciiTheme="minorEastAsia" w:eastAsiaTheme="minorEastAsia" w:hAnsiTheme="minorEastAsia" w:cs="楷体_GB2312"/>
                <w:color w:val="000000"/>
                <w:sz w:val="24"/>
              </w:rPr>
              <w:t>2014</w:t>
            </w:r>
            <w:r w:rsidRPr="00FE093E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年我行根据全行战略规划及资产配置安排，推动专业化经营、加大业务推动力度、深度挖潜客户需求、加强产品推动、加快产品创新、深化综合金融等一系列重点部署措施，带动全行存款快速增长。截至报告期末，我行总存款较年初增长24%，增速领先同业。我们希望未来存款在满足监管要求的前提下稳定的向上增长。</w:t>
            </w:r>
          </w:p>
          <w:p w:rsidR="00FE093E" w:rsidRPr="00FE093E" w:rsidRDefault="00FE093E" w:rsidP="00FE093E">
            <w:pPr>
              <w:pStyle w:val="30"/>
              <w:outlineLvl w:val="2"/>
            </w:pPr>
            <w:bookmarkStart w:id="4" w:name="_Toc401597489"/>
            <w:r w:rsidRPr="00FE093E">
              <w:rPr>
                <w:rFonts w:hint="eastAsia"/>
              </w:rPr>
              <w:t>手续费收入占比环比持续提升，未来空间如何？</w:t>
            </w:r>
            <w:bookmarkEnd w:id="4"/>
          </w:p>
          <w:p w:rsidR="00FE093E" w:rsidRPr="00FE093E" w:rsidRDefault="00FE093E" w:rsidP="00FE093E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Theme="minorEastAsia" w:eastAsiaTheme="minorEastAsia" w:hAnsiTheme="minorEastAsia" w:cs="楷体_GB2312"/>
                <w:color w:val="000000"/>
                <w:sz w:val="24"/>
              </w:rPr>
            </w:pPr>
            <w:r w:rsidRPr="00FE093E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由于手续费收入基数的不断提升，增速势必逐步放缓。目前我行手续费收入占比已跃升</w:t>
            </w:r>
            <w:proofErr w:type="gramStart"/>
            <w:r w:rsidRPr="00FE093E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至行业</w:t>
            </w:r>
            <w:proofErr w:type="gramEnd"/>
            <w:r w:rsidRPr="00FE093E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前列，未来我行将进一步推进业务创新和管理改革，努力提升手续费收入占比。</w:t>
            </w:r>
          </w:p>
          <w:p w:rsidR="00FE093E" w:rsidRPr="00FE093E" w:rsidRDefault="00FE093E" w:rsidP="00FE093E">
            <w:pPr>
              <w:pStyle w:val="30"/>
              <w:outlineLvl w:val="2"/>
            </w:pPr>
            <w:bookmarkStart w:id="5" w:name="_Toc395380031"/>
            <w:bookmarkStart w:id="6" w:name="_Toc401597549"/>
            <w:r w:rsidRPr="00FE093E">
              <w:rPr>
                <w:rFonts w:hint="eastAsia"/>
              </w:rPr>
              <w:t>贷</w:t>
            </w:r>
            <w:proofErr w:type="gramStart"/>
            <w:r w:rsidRPr="00FE093E">
              <w:rPr>
                <w:rFonts w:hint="eastAsia"/>
              </w:rPr>
              <w:t>贷</w:t>
            </w:r>
            <w:proofErr w:type="gramEnd"/>
            <w:r w:rsidRPr="00FE093E">
              <w:rPr>
                <w:rFonts w:hint="eastAsia"/>
              </w:rPr>
              <w:t>平安产品简介</w:t>
            </w:r>
            <w:bookmarkEnd w:id="5"/>
            <w:bookmarkEnd w:id="6"/>
          </w:p>
          <w:p w:rsidR="00FE093E" w:rsidRPr="00FE093E" w:rsidRDefault="00FE093E" w:rsidP="00FE093E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bidi="he-IL"/>
              </w:rPr>
            </w:pPr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贷</w:t>
            </w:r>
            <w:proofErr w:type="gramStart"/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贷</w:t>
            </w:r>
            <w:proofErr w:type="gramEnd"/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平安是平安银行推出的专为微型企业和个体工商户服务的</w:t>
            </w:r>
            <w:proofErr w:type="gramStart"/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集支付</w:t>
            </w:r>
            <w:proofErr w:type="gramEnd"/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结算、循环信用授信、综合金融服务于一体的产品和服务平台。主要聚焦于大消费行业，围绕“衣、食、住、行、玩、健康”等民生行业，专注于“两圈一链”（有形商圈、无形商圈和产业链）小微型企业，授信期限</w:t>
            </w:r>
            <w:r w:rsidRPr="00FE093E">
              <w:rPr>
                <w:rFonts w:asciiTheme="minorEastAsia" w:eastAsiaTheme="minorEastAsia" w:hAnsiTheme="minorEastAsia" w:cs="宋体"/>
                <w:sz w:val="24"/>
                <w:lang w:bidi="he-IL"/>
              </w:rPr>
              <w:t>10</w:t>
            </w:r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年，单笔期限</w:t>
            </w:r>
            <w:r w:rsidRPr="00FE093E">
              <w:rPr>
                <w:rFonts w:asciiTheme="minorEastAsia" w:eastAsiaTheme="minorEastAsia" w:hAnsiTheme="minorEastAsia" w:cs="宋体"/>
                <w:sz w:val="24"/>
                <w:lang w:bidi="he-IL"/>
              </w:rPr>
              <w:t>3</w:t>
            </w:r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个月，循环授信额度</w:t>
            </w:r>
            <w:r w:rsidRPr="00FE093E">
              <w:rPr>
                <w:rFonts w:asciiTheme="minorEastAsia" w:eastAsiaTheme="minorEastAsia" w:hAnsiTheme="minorEastAsia" w:cs="宋体"/>
                <w:sz w:val="24"/>
                <w:lang w:bidi="he-IL"/>
              </w:rPr>
              <w:t>100</w:t>
            </w:r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万以下，随借随还，按日计息。</w:t>
            </w:r>
          </w:p>
          <w:p w:rsidR="00FE093E" w:rsidRPr="00FE093E" w:rsidRDefault="00FE093E" w:rsidP="00FE093E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bidi="he-IL"/>
              </w:rPr>
            </w:pPr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我行自</w:t>
            </w:r>
            <w:r w:rsidRPr="00FE093E">
              <w:rPr>
                <w:rFonts w:asciiTheme="minorEastAsia" w:eastAsiaTheme="minorEastAsia" w:hAnsiTheme="minorEastAsia" w:cs="宋体"/>
                <w:sz w:val="24"/>
                <w:lang w:bidi="he-IL"/>
              </w:rPr>
              <w:t>2013</w:t>
            </w:r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年三季度推出贷</w:t>
            </w:r>
            <w:proofErr w:type="gramStart"/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贷</w:t>
            </w:r>
            <w:proofErr w:type="gramEnd"/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平安产品后，取得了很好的市场成效，我行不断从政策支持、产品优化、平台打造、团队提升、信贷工厂建设等各方面保持竞争优势。</w:t>
            </w:r>
          </w:p>
          <w:p w:rsidR="00FE093E" w:rsidRPr="00FE093E" w:rsidRDefault="00FE093E" w:rsidP="00FE093E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bidi="he-IL"/>
              </w:rPr>
            </w:pPr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截至报告期末，我行贷</w:t>
            </w:r>
            <w:proofErr w:type="gramStart"/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贷</w:t>
            </w:r>
            <w:proofErr w:type="gramEnd"/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平安客户数近</w:t>
            </w:r>
            <w:r w:rsidRPr="00FE093E">
              <w:rPr>
                <w:rFonts w:asciiTheme="minorEastAsia" w:eastAsiaTheme="minorEastAsia" w:hAnsiTheme="minorEastAsia" w:cs="宋体"/>
                <w:sz w:val="24"/>
                <w:lang w:bidi="he-IL"/>
              </w:rPr>
              <w:t>80</w:t>
            </w:r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万户，</w:t>
            </w:r>
            <w:proofErr w:type="gramStart"/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授信户近</w:t>
            </w:r>
            <w:proofErr w:type="gramEnd"/>
            <w:r w:rsidRPr="00FE093E">
              <w:rPr>
                <w:rFonts w:asciiTheme="minorEastAsia" w:eastAsiaTheme="minorEastAsia" w:hAnsiTheme="minorEastAsia" w:cs="宋体"/>
                <w:sz w:val="24"/>
                <w:lang w:bidi="he-IL"/>
              </w:rPr>
              <w:t>17</w:t>
            </w:r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万户，授信余额</w:t>
            </w:r>
            <w:r w:rsidRPr="00FE093E">
              <w:rPr>
                <w:rFonts w:asciiTheme="minorEastAsia" w:eastAsiaTheme="minorEastAsia" w:hAnsiTheme="minorEastAsia" w:cs="宋体"/>
                <w:sz w:val="24"/>
                <w:lang w:bidi="he-IL"/>
              </w:rPr>
              <w:t>380</w:t>
            </w:r>
            <w:r w:rsidRPr="00FE093E">
              <w:rPr>
                <w:rFonts w:asciiTheme="minorEastAsia" w:eastAsiaTheme="minorEastAsia" w:hAnsiTheme="minorEastAsia" w:cs="宋体" w:hint="eastAsia"/>
                <w:sz w:val="24"/>
                <w:lang w:bidi="he-IL"/>
              </w:rPr>
              <w:t>亿，资产质量较好，不良率保持在0.26%的低位。</w:t>
            </w:r>
          </w:p>
          <w:p w:rsidR="00217D1A" w:rsidRPr="00FE093E" w:rsidRDefault="00217D1A" w:rsidP="00AB47CE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EE1C10" w:rsidRPr="0005090F" w:rsidRDefault="00A140B8" w:rsidP="00B708D6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217D1A" w:rsidP="00B708D6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2014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年</w:t>
            </w:r>
            <w:r w:rsidR="00B708D6">
              <w:rPr>
                <w:rFonts w:ascii="Times" w:hAnsi="Times" w:hint="eastAsia"/>
                <w:bCs/>
                <w:iCs/>
                <w:color w:val="000000"/>
                <w:sz w:val="24"/>
              </w:rPr>
              <w:t>三季度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业绩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PPT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（请参见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-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lastRenderedPageBreak/>
              <w:t>公司推介栏目）</w:t>
            </w:r>
          </w:p>
        </w:tc>
      </w:tr>
      <w:tr w:rsidR="00EE1C10" w:rsidRPr="0005090F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5090F" w:rsidRDefault="00EE1C10" w:rsidP="008F16A2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761259" w:rsidP="00FE093E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201</w:t>
            </w:r>
            <w:r w:rsidR="00B84A84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4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.</w:t>
            </w:r>
            <w:r w:rsidR="00FE093E">
              <w:rPr>
                <w:rFonts w:ascii="Times" w:hAnsi="Times" w:hint="eastAsia"/>
                <w:bCs/>
                <w:iCs/>
                <w:color w:val="000000"/>
                <w:sz w:val="24"/>
              </w:rPr>
              <w:t>11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.</w:t>
            </w:r>
            <w:r w:rsidR="00FE093E">
              <w:rPr>
                <w:rFonts w:ascii="Times" w:hAnsi="Times" w:hint="eastAsia"/>
                <w:bCs/>
                <w:iCs/>
                <w:color w:val="000000"/>
                <w:sz w:val="24"/>
              </w:rPr>
              <w:t>14</w:t>
            </w:r>
          </w:p>
        </w:tc>
      </w:tr>
    </w:tbl>
    <w:p w:rsidR="00EE1C10" w:rsidRPr="0005090F" w:rsidRDefault="00EE1C10" w:rsidP="00EE1C10">
      <w:pPr>
        <w:jc w:val="center"/>
        <w:rPr>
          <w:rFonts w:ascii="Times" w:hAnsi="Times"/>
          <w:sz w:val="28"/>
          <w:szCs w:val="28"/>
        </w:rPr>
      </w:pPr>
    </w:p>
    <w:p w:rsidR="00941F1C" w:rsidRPr="0005090F" w:rsidRDefault="00941F1C">
      <w:pPr>
        <w:rPr>
          <w:rFonts w:ascii="Times" w:hAnsi="Times"/>
        </w:rPr>
      </w:pPr>
    </w:p>
    <w:sectPr w:rsidR="00941F1C" w:rsidRPr="0005090F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B8" w:rsidRDefault="001516B8" w:rsidP="00D96584">
      <w:r>
        <w:separator/>
      </w:r>
    </w:p>
  </w:endnote>
  <w:endnote w:type="continuationSeparator" w:id="0">
    <w:p w:rsidR="001516B8" w:rsidRDefault="001516B8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B8" w:rsidRDefault="001516B8" w:rsidP="00D96584">
      <w:r>
        <w:separator/>
      </w:r>
    </w:p>
  </w:footnote>
  <w:footnote w:type="continuationSeparator" w:id="0">
    <w:p w:rsidR="001516B8" w:rsidRDefault="001516B8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2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>
    <w:nsid w:val="666C0CB7"/>
    <w:multiLevelType w:val="hybridMultilevel"/>
    <w:tmpl w:val="86B2FF9C"/>
    <w:lvl w:ilvl="0" w:tplc="BF780C46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3"/>
  </w:num>
  <w:num w:numId="13">
    <w:abstractNumId w:val="5"/>
  </w:num>
  <w:num w:numId="14">
    <w:abstractNumId w:val="16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5090F"/>
    <w:rsid w:val="000B3693"/>
    <w:rsid w:val="000B41B6"/>
    <w:rsid w:val="00101C48"/>
    <w:rsid w:val="00130F3C"/>
    <w:rsid w:val="001516B8"/>
    <w:rsid w:val="0015535F"/>
    <w:rsid w:val="00161A96"/>
    <w:rsid w:val="001B33AC"/>
    <w:rsid w:val="001B72DE"/>
    <w:rsid w:val="001C10A8"/>
    <w:rsid w:val="001D2529"/>
    <w:rsid w:val="001E2C63"/>
    <w:rsid w:val="00210939"/>
    <w:rsid w:val="00217D1A"/>
    <w:rsid w:val="003317E5"/>
    <w:rsid w:val="003B107D"/>
    <w:rsid w:val="003B721F"/>
    <w:rsid w:val="003F79D6"/>
    <w:rsid w:val="0043629D"/>
    <w:rsid w:val="00497C7E"/>
    <w:rsid w:val="004B47B1"/>
    <w:rsid w:val="0051123B"/>
    <w:rsid w:val="00535D6F"/>
    <w:rsid w:val="00550FD9"/>
    <w:rsid w:val="00622C3A"/>
    <w:rsid w:val="00623A26"/>
    <w:rsid w:val="0063326E"/>
    <w:rsid w:val="006A1753"/>
    <w:rsid w:val="006F64B3"/>
    <w:rsid w:val="00761259"/>
    <w:rsid w:val="007C213F"/>
    <w:rsid w:val="00845B88"/>
    <w:rsid w:val="008710F9"/>
    <w:rsid w:val="00880699"/>
    <w:rsid w:val="0089673B"/>
    <w:rsid w:val="008A4E3E"/>
    <w:rsid w:val="008C111F"/>
    <w:rsid w:val="008F16A2"/>
    <w:rsid w:val="00921892"/>
    <w:rsid w:val="00930952"/>
    <w:rsid w:val="00941F1C"/>
    <w:rsid w:val="00951547"/>
    <w:rsid w:val="009F13CD"/>
    <w:rsid w:val="00A06B39"/>
    <w:rsid w:val="00A140B8"/>
    <w:rsid w:val="00AB47CE"/>
    <w:rsid w:val="00AB67BB"/>
    <w:rsid w:val="00B31C4E"/>
    <w:rsid w:val="00B708D6"/>
    <w:rsid w:val="00B84A84"/>
    <w:rsid w:val="00BB741D"/>
    <w:rsid w:val="00BE11BC"/>
    <w:rsid w:val="00C12E89"/>
    <w:rsid w:val="00C35BCB"/>
    <w:rsid w:val="00C51768"/>
    <w:rsid w:val="00C81677"/>
    <w:rsid w:val="00CB4AC9"/>
    <w:rsid w:val="00D50045"/>
    <w:rsid w:val="00D87038"/>
    <w:rsid w:val="00D91B1B"/>
    <w:rsid w:val="00D96584"/>
    <w:rsid w:val="00E1525A"/>
    <w:rsid w:val="00E733AB"/>
    <w:rsid w:val="00EE1C10"/>
    <w:rsid w:val="00EE4F68"/>
    <w:rsid w:val="00EE7C01"/>
    <w:rsid w:val="00F16F75"/>
    <w:rsid w:val="00F628CA"/>
    <w:rsid w:val="00F66AD9"/>
    <w:rsid w:val="00FE093E"/>
    <w:rsid w:val="00FE4AFD"/>
    <w:rsid w:val="00FF0263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1249</Characters>
  <Application>Microsoft Office Word</Application>
  <DocSecurity>0</DocSecurity>
  <Lines>10</Lines>
  <Paragraphs>2</Paragraphs>
  <ScaleCrop>false</ScaleCrop>
  <Company>sdb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4</cp:revision>
  <dcterms:created xsi:type="dcterms:W3CDTF">2015-01-08T03:09:00Z</dcterms:created>
  <dcterms:modified xsi:type="dcterms:W3CDTF">2015-01-08T03:15:00Z</dcterms:modified>
</cp:coreProperties>
</file>