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证券代码：300407                                    证券简称：凯发电气</w:t>
      </w:r>
    </w:p>
    <w:p>
      <w:pPr>
        <w:spacing w:before="0" w:after="0" w:line="400" w:lineRule="auto"/>
        <w:ind w:left="0" w:right="0" w:firstLine="0"/>
        <w:jc w:val="center"/>
        <w:rPr>
          <w:rFonts w:ascii="宋体" w:hAnsi="宋体" w:eastAsia="宋体" w:cs="宋体"/>
          <w:b/>
          <w:color w:val="000000"/>
          <w:spacing w:val="0"/>
          <w:position w:val="0"/>
          <w:sz w:val="32"/>
          <w:shd w:val="clear" w:color="060000" w:fill="auto"/>
        </w:rPr>
      </w:pPr>
      <w:r>
        <w:rPr>
          <w:rFonts w:ascii="宋体" w:hAnsi="宋体" w:eastAsia="宋体" w:cs="宋体"/>
          <w:b/>
          <w:color w:val="000000"/>
          <w:spacing w:val="0"/>
          <w:position w:val="0"/>
          <w:sz w:val="32"/>
          <w:shd w:val="clear" w:color="060000" w:fill="auto"/>
        </w:rPr>
        <w:t>天津凯发电气股份有限公司投资者关系活动记录表</w:t>
      </w:r>
    </w:p>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 xml:space="preserve">                                                       编号：2015-00</w:t>
      </w:r>
      <w:r>
        <w:rPr>
          <w:rFonts w:hint="eastAsia" w:ascii="宋体" w:hAnsi="宋体" w:cs="宋体"/>
          <w:color w:val="000000"/>
          <w:spacing w:val="0"/>
          <w:position w:val="0"/>
          <w:sz w:val="24"/>
          <w:shd w:val="clear" w:color="050000" w:fill="auto"/>
          <w:lang w:val="en-US" w:eastAsia="zh-CN"/>
        </w:rPr>
        <w:t>2</w:t>
      </w:r>
    </w:p>
    <w:tbl>
      <w:tblPr>
        <w:tblStyle w:val="5"/>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9"/>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特定对象调研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分析师会议</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媒体采访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业绩说明会</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新闻发布会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路演活动</w:t>
            </w:r>
          </w:p>
          <w:p>
            <w:pPr>
              <w:tabs>
                <w:tab w:val="center" w:pos="3199"/>
                <w:tab w:val="left" w:pos="3285"/>
              </w:tabs>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现场参观</w:t>
            </w:r>
            <w:r>
              <w:rPr>
                <w:rFonts w:ascii="宋体" w:hAnsi="宋体" w:eastAsia="宋体" w:cs="宋体"/>
                <w:color w:val="000000"/>
                <w:spacing w:val="0"/>
                <w:position w:val="0"/>
                <w:sz w:val="24"/>
                <w:shd w:val="clear" w:color="050000" w:fill="auto"/>
              </w:rPr>
              <w:tab/>
            </w:r>
            <w:r>
              <w:rPr>
                <w:rFonts w:ascii="宋体" w:hAnsi="宋体" w:eastAsia="宋体" w:cs="宋体"/>
                <w:color w:val="000000"/>
                <w:spacing w:val="0"/>
                <w:position w:val="0"/>
                <w:sz w:val="24"/>
                <w:shd w:val="clear" w:color="050000" w:fill="auto"/>
              </w:rPr>
              <w:t xml:space="preserve">           □</w:t>
            </w:r>
            <w:r>
              <w:rPr>
                <w:rFonts w:ascii="宋体" w:hAnsi="宋体" w:eastAsia="宋体" w:cs="宋体"/>
                <w:color w:val="auto"/>
                <w:spacing w:val="0"/>
                <w:position w:val="0"/>
                <w:sz w:val="24"/>
                <w:shd w:val="clear" w:color="050000" w:fill="auto"/>
              </w:rPr>
              <w:t>一对一沟通</w:t>
            </w:r>
          </w:p>
          <w:p>
            <w:pPr>
              <w:tabs>
                <w:tab w:val="center" w:pos="3199"/>
              </w:tabs>
              <w:spacing w:before="0" w:after="0" w:line="360" w:lineRule="auto"/>
              <w:ind w:left="0" w:right="0" w:firstLine="482"/>
              <w:jc w:val="both"/>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其他 （</w:t>
            </w:r>
            <w:r>
              <w:rPr>
                <w:rFonts w:ascii="宋体" w:hAnsi="宋体" w:eastAsia="宋体" w:cs="宋体"/>
                <w:color w:val="auto"/>
                <w:spacing w:val="0"/>
                <w:position w:val="0"/>
                <w:sz w:val="24"/>
                <w:u w:val="single"/>
                <w:shd w:val="clear" w:color="060000" w:fill="auto"/>
              </w:rPr>
              <w:t>请文字说明其他活动内容）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both"/>
              <w:rPr>
                <w:rFonts w:hint="eastAsia" w:ascii="宋体" w:hAnsi="宋体" w:eastAsia="宋体" w:cs="宋体"/>
                <w:color w:val="auto"/>
                <w:spacing w:val="0"/>
                <w:position w:val="0"/>
                <w:shd w:val="clear" w:color="040000" w:fill="auto"/>
                <w:lang w:val="en-US" w:eastAsia="zh-CN"/>
              </w:rPr>
            </w:pPr>
            <w:r>
              <w:rPr>
                <w:rFonts w:hint="eastAsia" w:ascii="宋体" w:hAnsi="宋体" w:cs="宋体"/>
                <w:color w:val="auto"/>
                <w:spacing w:val="0"/>
                <w:position w:val="0"/>
                <w:shd w:val="clear" w:color="040000" w:fill="auto"/>
                <w:lang w:val="en-US" w:eastAsia="zh-CN"/>
              </w:rPr>
              <w:t>渤海证券股份有限公司      伊晓奕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5</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18</w:t>
            </w:r>
            <w:r>
              <w:rPr>
                <w:rFonts w:ascii="宋体" w:hAnsi="宋体" w:eastAsia="宋体" w:cs="宋体"/>
                <w:color w:val="auto"/>
                <w:spacing w:val="0"/>
                <w:position w:val="0"/>
                <w:sz w:val="24"/>
                <w:shd w:val="clear" w:color="050000" w:fill="auto"/>
              </w:rPr>
              <w:t>日</w:t>
            </w:r>
            <w:r>
              <w:rPr>
                <w:rFonts w:hint="eastAsia" w:ascii="宋体" w:hAnsi="宋体" w:cs="宋体"/>
                <w:color w:val="auto"/>
                <w:spacing w:val="0"/>
                <w:position w:val="0"/>
                <w:sz w:val="24"/>
                <w:shd w:val="clear" w:color="050000" w:fill="auto"/>
                <w:lang w:eastAsia="zh-CN"/>
              </w:rPr>
              <w:t>上午</w:t>
            </w:r>
            <w:r>
              <w:rPr>
                <w:rFonts w:hint="eastAsia" w:ascii="宋体" w:hAnsi="宋体" w:cs="宋体"/>
                <w:color w:val="auto"/>
                <w:spacing w:val="0"/>
                <w:position w:val="0"/>
                <w:sz w:val="24"/>
                <w:shd w:val="clear" w:color="050000" w:fill="auto"/>
                <w:lang w:val="en-US" w:eastAsia="zh-CN"/>
              </w:rPr>
              <w:t>09</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00</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凯发电气股份有限公司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蔡登明（董事会秘书）    彭蒙歌（投资者管理专员）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Times New Roman" w:hAnsi="Times New Roman" w:eastAsia="Times New Roman" w:cs="Times New Roman"/>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本次会议，</w:t>
            </w:r>
            <w:r>
              <w:rPr>
                <w:rFonts w:hint="eastAsia" w:ascii="宋体" w:hAnsi="宋体" w:cs="宋体"/>
                <w:color w:val="auto"/>
                <w:spacing w:val="0"/>
                <w:position w:val="0"/>
                <w:sz w:val="24"/>
                <w:shd w:val="clear" w:color="050000" w:fill="auto"/>
                <w:lang w:eastAsia="zh-CN"/>
              </w:rPr>
              <w:t>渤海证券伊晓奕女士与</w:t>
            </w:r>
            <w:r>
              <w:rPr>
                <w:rFonts w:ascii="宋体" w:hAnsi="宋体" w:eastAsia="宋体" w:cs="宋体"/>
                <w:color w:val="auto"/>
                <w:spacing w:val="0"/>
                <w:position w:val="0"/>
                <w:sz w:val="24"/>
                <w:shd w:val="clear" w:color="050000" w:fill="auto"/>
              </w:rPr>
              <w:t>公司董事会秘书蔡登明</w:t>
            </w:r>
            <w:r>
              <w:rPr>
                <w:rFonts w:hint="eastAsia" w:ascii="宋体" w:hAnsi="宋体" w:cs="宋体"/>
                <w:color w:val="auto"/>
                <w:spacing w:val="0"/>
                <w:position w:val="0"/>
                <w:sz w:val="24"/>
                <w:shd w:val="clear" w:color="050000" w:fill="auto"/>
                <w:lang w:eastAsia="zh-CN"/>
              </w:rPr>
              <w:t>先生</w:t>
            </w:r>
            <w:r>
              <w:rPr>
                <w:rFonts w:ascii="宋体" w:hAnsi="宋体" w:eastAsia="宋体" w:cs="宋体"/>
                <w:color w:val="auto"/>
                <w:spacing w:val="0"/>
                <w:position w:val="0"/>
                <w:sz w:val="24"/>
                <w:shd w:val="clear" w:color="050000" w:fill="auto"/>
              </w:rPr>
              <w:t>就公司</w:t>
            </w:r>
            <w:r>
              <w:rPr>
                <w:rFonts w:hint="eastAsia" w:ascii="宋体" w:hAnsi="宋体" w:cs="宋体"/>
                <w:color w:val="auto"/>
                <w:spacing w:val="0"/>
                <w:position w:val="0"/>
                <w:sz w:val="24"/>
                <w:shd w:val="clear" w:color="050000" w:fill="auto"/>
                <w:lang w:eastAsia="zh-CN"/>
              </w:rPr>
              <w:t>产品情况</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eastAsia="zh-CN"/>
              </w:rPr>
              <w:t>公司所处行业产品市场占有率</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eastAsia="zh-CN"/>
              </w:rPr>
              <w:t>公司发展战略</w:t>
            </w:r>
            <w:r>
              <w:rPr>
                <w:rFonts w:ascii="宋体" w:hAnsi="宋体" w:eastAsia="宋体" w:cs="宋体"/>
                <w:color w:val="auto"/>
                <w:spacing w:val="0"/>
                <w:position w:val="0"/>
                <w:sz w:val="24"/>
                <w:shd w:val="clear" w:color="050000" w:fill="auto"/>
              </w:rPr>
              <w:t>等问题展开沟通，会议主要内容纪要如下：</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问题一：公司主要产品包括哪些？</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eastAsia="zh-CN"/>
              </w:rPr>
            </w:pPr>
            <w:r>
              <w:rPr>
                <w:rFonts w:ascii="宋体" w:hAnsi="宋体" w:eastAsia="宋体" w:cs="宋体"/>
                <w:b/>
                <w:bCs/>
                <w:color w:val="000000"/>
                <w:spacing w:val="0"/>
                <w:position w:val="0"/>
                <w:sz w:val="24"/>
                <w:shd w:val="clear" w:color="050000" w:fill="auto"/>
              </w:rPr>
              <w:t xml:space="preserve"> </w:t>
            </w:r>
            <w:r>
              <w:rPr>
                <w:rFonts w:hint="eastAsia" w:ascii="宋体" w:hAnsi="宋体" w:eastAsia="宋体" w:cs="宋体"/>
                <w:b w:val="0"/>
                <w:bCs w:val="0"/>
                <w:color w:val="000000"/>
                <w:spacing w:val="0"/>
                <w:position w:val="0"/>
                <w:sz w:val="21"/>
                <w:szCs w:val="21"/>
                <w:shd w:val="clear" w:color="050000" w:fill="auto"/>
              </w:rPr>
              <w:t>公司</w:t>
            </w:r>
            <w:r>
              <w:rPr>
                <w:rFonts w:hint="eastAsia" w:ascii="宋体" w:hAnsi="宋体" w:cs="宋体"/>
                <w:b w:val="0"/>
                <w:bCs w:val="0"/>
                <w:color w:val="000000"/>
                <w:spacing w:val="0"/>
                <w:position w:val="0"/>
                <w:sz w:val="21"/>
                <w:szCs w:val="21"/>
                <w:shd w:val="clear" w:color="050000" w:fill="auto"/>
                <w:lang w:eastAsia="zh-CN"/>
              </w:rPr>
              <w:t>自成立至今所涉及产品领域包括铁路供电自动化系统、城市轨道交通自动化系统、轨道交通供电检测装备  、技术咨询服务及其他。其中主要产品包括：牵引供电综合自动化系统、铁路配电综合自动化系统、电气设备在线监测系统、环境安全监控系统、电力调度自动化系统、供电维修信息管理系统、远方监控装置（RTU/FTU/STU）、控制中心及站级综合监控系统、电力监控系统（PSCADA）、环境与设备监控系统（BAS）、视频监控系统（CCTV）、门禁系统（ACS）、变电高压试验车、二次检测车、供电维修</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eastAsia="zh-CN"/>
              </w:rPr>
            </w:pPr>
            <w:r>
              <w:rPr>
                <w:rFonts w:hint="eastAsia" w:ascii="宋体" w:hAnsi="宋体" w:cs="宋体"/>
                <w:b w:val="0"/>
                <w:bCs w:val="0"/>
                <w:color w:val="000000"/>
                <w:spacing w:val="0"/>
                <w:position w:val="0"/>
                <w:sz w:val="21"/>
                <w:szCs w:val="21"/>
                <w:shd w:val="clear" w:color="050000" w:fill="auto"/>
                <w:lang w:eastAsia="zh-CN"/>
              </w:rPr>
              <w:t>装备、直流开关测试装置、电能质量分析装置等以及技术咨询和技术服务。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问题二：公司产品所占市场份额有多少，主要竞争对手有哪些？</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1"/>
                <w:szCs w:val="21"/>
                <w:shd w:val="clear" w:color="050000" w:fill="auto"/>
                <w:lang w:val="en-US" w:eastAsia="zh-CN"/>
              </w:rPr>
              <w:t xml:space="preserve"> 公司市场竞争情况：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（1）铁路供电综合自动化系统</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由于铁路供电自动化行业属于行业细分市场，专业性强，具有较高的技术壁垒和行业准入壁垒。其中，铁路供电综合自动化系统的市场份额主要集中在具有先发优势、技术优势、品牌优势的交大许继、国电南自、凯发电气三家企业，其他厂家市场份额相对比较分散，包括国电南瑞、北京国际系统控制有限公司、山东科汇电力自动化有限公司、南京恒星自动化设备有限公司等企业。2010 年交大许继、国电南自、凯发电气三家企业占据超过 55%的市场份额，其中，公司的铁路供电综合自动化系统市场占有率为 10.1%，排名市场第三位。轨道交通建设项目执行时间较长，统计更长时间内各企业的市场情况可以更全面分析行业内企业的竞争地位。2008 年至 2010 年交大许继、国电南自、凯发电气三家企业铁路供电综合自动化系统市场占有率接近 60%，其中，公司的铁路供电综合电自动化系统三年的综合市场占有率为 13.7%，排名市场第三位。</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（2）铁路供电调度自动化系统</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由于技术壁垒和行业准入壁垒的存在，铁路供电调度自动化系统的市场更为集中，2010 年交大光芒、凯发电气（北京南凯） 、国电南自三家企业占据接近 90%的市场份额，其中，公司的铁路供电调度自动化系统市场占有率为 29.9%，排名市场第二位，2008 年至 2010 年交大光芒、凯发电气（北京南凯） 、国电南自三家企业铁路供电调度自动化系统市场占有率超过 70%，其中，公司铁路供电调度自动化系统三年的综合市场占有率为 29.4%，排名市场第二位。</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（3）城市轨道交通综合监控系统</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城市轨道交通综合监控系统为近年城市轨道交通建设新上项目，产品技术综合性强，市场较为集中，主要供货厂家包括国电南瑞、和利时、同方股份、凯发电气、宝信软件等。2008 年至 2010 年国电南瑞、和利时、同方股份三家企业占据的市场份额超过 80%，公司的综合市场占有率为 3.3%。 </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（4）城市轨道交通综合安防系统</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城市轨道交通综合安防市场区域性较强、集中度不高，参与企业较多，市场占有率普遍不高，主要供货厂家包括英飞拓、赛为智能、海康威视、苏州科达、警视达、凯发电气等。</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（5）轨道交通供电检测装备</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轨道交通供电检修管理目前主要采用周期检修模式，部分设施采用状态检修措施，项目实施中都会配套采购用于电气设备试验、测试的专用设施，如电气试验车、电能质量分析装置、供电专业检修设备等检测装备。目前国内主要集成提供此类设备的厂家有凯发电气、珠海南自、北京太格等公司。公司该类产品在主营业务收入构成中占比不高。</w:t>
            </w:r>
          </w:p>
          <w:p>
            <w:pPr>
              <w:spacing w:before="0" w:after="0" w:line="360" w:lineRule="auto"/>
              <w:ind w:left="0" w:right="0" w:firstLine="0"/>
              <w:jc w:val="left"/>
              <w:rPr>
                <w:rFonts w:ascii="宋体" w:hAnsi="宋体" w:eastAsia="宋体" w:cs="宋体"/>
                <w:b/>
                <w:bCs/>
                <w:color w:val="000000"/>
                <w:spacing w:val="0"/>
                <w:position w:val="0"/>
                <w:sz w:val="24"/>
                <w:shd w:val="clear" w:color="050000" w:fill="auto"/>
              </w:rPr>
            </w:pPr>
            <w:r>
              <w:rPr>
                <w:rFonts w:hint="eastAsia" w:ascii="宋体" w:hAnsi="宋体" w:cs="宋体"/>
                <w:b w:val="0"/>
                <w:bCs w:val="0"/>
                <w:color w:val="000000"/>
                <w:spacing w:val="0"/>
                <w:position w:val="0"/>
                <w:sz w:val="21"/>
                <w:szCs w:val="21"/>
                <w:shd w:val="clear" w:color="050000" w:fill="auto"/>
                <w:lang w:val="en-US" w:eastAsia="zh-CN"/>
              </w:rPr>
              <w:t>（数据来源：中国铁道科学研究院科学技术信息研究所《铁路供电及城市轨道交通自动化行业分析报告》2011 年 7 月）</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问题三：介绍保富电气情况及盈利情况？</w:t>
            </w:r>
          </w:p>
          <w:p>
            <w:pPr>
              <w:autoSpaceDE w:val="0"/>
              <w:autoSpaceDN w:val="0"/>
              <w:adjustRightInd w:val="0"/>
              <w:spacing w:before="0" w:after="0" w:line="276" w:lineRule="auto"/>
              <w:ind w:firstLine="480" w:firstLineChars="200"/>
              <w:jc w:val="left"/>
              <w:rPr>
                <w:rFonts w:ascii="宋体"/>
                <w:szCs w:val="18"/>
                <w:lang w:val="zh-CN"/>
              </w:rPr>
            </w:pPr>
            <w:r>
              <w:rPr>
                <w:rFonts w:ascii="宋体"/>
                <w:szCs w:val="18"/>
                <w:lang w:val="zh-CN"/>
              </w:rPr>
              <w:t>天津保富电气有限公司，成立于成立于2009年8月20日，公司持有其51%权益。公司经营范围：开发、生产、销售选用于城市轨道交通及铁路的直流开关柜和其他电气设备；提供技术</w:t>
            </w:r>
            <w:r>
              <w:rPr>
                <w:rFonts w:hint="eastAsia" w:ascii="宋体"/>
                <w:szCs w:val="18"/>
                <w:lang w:val="zh-CN"/>
              </w:rPr>
              <w:t>资讯</w:t>
            </w:r>
            <w:r>
              <w:rPr>
                <w:rFonts w:ascii="宋体"/>
                <w:szCs w:val="18"/>
                <w:lang w:val="zh-CN"/>
              </w:rPr>
              <w:t>及售后服务。</w:t>
            </w:r>
          </w:p>
          <w:p>
            <w:pPr>
              <w:autoSpaceDE w:val="0"/>
              <w:autoSpaceDN w:val="0"/>
              <w:adjustRightInd w:val="0"/>
              <w:spacing w:before="0" w:after="0" w:line="276" w:lineRule="auto"/>
              <w:ind w:firstLine="480" w:firstLineChars="200"/>
              <w:jc w:val="left"/>
              <w:rPr>
                <w:rFonts w:hint="eastAsia" w:ascii="宋体" w:hAnsi="宋体" w:cs="宋体"/>
                <w:b/>
                <w:bCs/>
                <w:color w:val="000000"/>
                <w:spacing w:val="0"/>
                <w:position w:val="0"/>
                <w:sz w:val="24"/>
                <w:shd w:val="clear" w:color="050000" w:fill="auto"/>
                <w:lang w:eastAsia="zh-CN"/>
              </w:rPr>
            </w:pPr>
            <w:r>
              <w:rPr>
                <w:rFonts w:ascii="宋体"/>
                <w:szCs w:val="18"/>
                <w:lang w:val="zh-CN"/>
              </w:rPr>
              <w:t>截至2014年12月31日，公司注册资本4300万元，总资产为12714.49万元，净资产为6768.45万元。营业收入8170.04万元，营业利润1608.17万元，净利润1345.59万元。</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eastAsia="zh-CN"/>
              </w:rPr>
              <w:t>问题四：公司产品更新换代周期</w:t>
            </w:r>
            <w:r>
              <w:rPr>
                <w:rFonts w:hint="eastAsia" w:ascii="宋体" w:hAnsi="宋体" w:cs="宋体"/>
                <w:b/>
                <w:bCs/>
                <w:color w:val="000000"/>
                <w:spacing w:val="0"/>
                <w:position w:val="0"/>
                <w:sz w:val="24"/>
                <w:shd w:val="clear" w:color="050000" w:fill="auto"/>
                <w:lang w:val="en-US" w:eastAsia="zh-CN"/>
              </w:rPr>
              <w:t>?</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公司所属行业产品周期一般为 10 年左右，未来系统大修更换及技改市场也有较大空间。</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问题五：“一带一路”对公司影响，公司对于国外项目是通过什么方式取得的？</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公司获取合同订单的主要形式是参与轨道交通自动化项目招标。公司根据招投标信息进行标书购买、制作和投标活动，进行新产品推广宣介，同时根据用户的实际需求，公司提供项目前期整体技术方案。公司参加的投标活动主要分为业主单位的招标和总承包方的招标。在总承包方招标的具体业务程序方面，一般由总承包方从业主单位承接轨道交通项目后，对其中的自动化设备进行公开招标。公司作为轨道交通自动化设备供应商在获得总承包方招标信息后，按照其设定的投标条件和程序参与竞标。总承包方根据各投标方的产品质量、技术水平、市场信誉、投标报价等综合因素评审后确定中标方，相关招投标程序严格按照《中华人民共和国招标投标法》的规定进行，不存在潜在风险。同时，由于轨道交通自动化行业产品的多样性和技术的复杂性，业主单位在进行项目整体招标中，中标单位需将部分本身不进行生产的设备分包予包括公司在内专业设备供应商，并签订项目分包合同（即中标单位在其中标合同约定的权利和义务范围内按照市场价格向公司采购与中标合同有关设备的行为），并在分包合同中约定中标单位与公司按照分包合同履行各自的权利义务。上述分包形式符合行业特点，不违反中标单位与业主单位签订的总承包合同，不存在潜在风险。</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公司在项目中标后按照购销合同进行产品工程化设计和生产。设备的交付必须经过出厂验收，现场安装、调试和验收，公司还需提供技术培训及售后服务。</w:t>
            </w:r>
          </w:p>
          <w:p>
            <w:pPr>
              <w:spacing w:before="0" w:after="0" w:line="360" w:lineRule="auto"/>
              <w:ind w:left="0" w:right="0" w:firstLine="420" w:firstLineChars="20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一带一路的提出对公司来说是一个非常好的机遇，公司会抓住机遇，继续提高技术水平，积极引进国际先进技术，为可以早日实现铁路“国产化”努力，并为公司今后可以“走出去”做好准备。积极做好市场管理，使公司业绩持续稳步提升得以回馈广大投者。  </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问题六：公司拟设立的新的合营公司情况?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公司拟与捷克共和国阿尔法尤尼有限公司（以下简称“AU”公司）共同出资设立合资公司。本次对外投资的资金来源于公司的自有资金。拟设立合资公司的基本情况：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中文名称（暂定）：天津阿尔法尤联电气有限公司</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投资总额（人民币）：10,000,000 元。</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注册资本（人民币）：8,000,000 元，占投资总额的80％。注册资本以货币形式分两期缴付。</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公司出资额（人民币）：5,360,000 元，占注册资本的67％</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AU 公司出资额（人民币）：2,640,000 元，占注册资本的33%；</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注册地址（暂定）：天津新产业园区华苑产业区物华道8 号（为公司自有房产）</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经营范围为：开发、生产、销售适用于城市轨道交通及铁路供电系统和车辆的相关设备；提供技术咨询及服务。</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AU 公司是一家在轨道交通领域世界闻名的企业，具有在我国、欧洲和美国城市轨道交通直流供电和机车车辆零部件应用的经验。AU公司基本情况如下：</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阿尔法尤尼有限公司，注册于布拉格市法院，注册号25148389。</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注册资本：4152万（捷克克朗）</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法定地址：捷克共和国，布拉格Praha 4- Modrany，邮编14300</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法定代表人：米兰▪巴塔克</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国籍：捷克共和国</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 xml:space="preserve">    营业范围：轨道交通机车车辆零部件设计生产制造销售与服务，开关类设备设计生产制造销售与服务。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问题七：公司发展战略？</w:t>
            </w:r>
          </w:p>
          <w:p>
            <w:pPr>
              <w:autoSpaceDE w:val="0"/>
              <w:autoSpaceDN w:val="0"/>
              <w:adjustRightInd w:val="0"/>
              <w:spacing w:before="120" w:after="0" w:line="276" w:lineRule="auto"/>
              <w:ind w:firstLine="480"/>
              <w:rPr>
                <w:rFonts w:hint="eastAsia" w:ascii="宋体" w:hAnsi="宋体" w:cs="宋体"/>
                <w:b/>
                <w:bCs/>
                <w:color w:val="000000"/>
                <w:spacing w:val="0"/>
                <w:position w:val="0"/>
                <w:sz w:val="24"/>
                <w:shd w:val="clear" w:color="050000" w:fill="auto"/>
                <w:lang w:val="en-US" w:eastAsia="zh-CN"/>
              </w:rPr>
            </w:pPr>
            <w:r>
              <w:rPr>
                <w:rFonts w:ascii="宋体" w:hAnsi="宋体"/>
                <w:szCs w:val="18"/>
                <w:lang w:val="zh-CN"/>
              </w:rPr>
              <w:t>公司将坚持“致力于轨道交通自动化领域；以优质的服务，领先的技术</w:t>
            </w:r>
            <w:r>
              <w:rPr>
                <w:rFonts w:hint="eastAsia" w:ascii="宋体" w:hAnsi="宋体"/>
                <w:szCs w:val="18"/>
                <w:lang w:val="zh-CN"/>
              </w:rPr>
              <w:t>，</w:t>
            </w:r>
            <w:r>
              <w:rPr>
                <w:rFonts w:ascii="宋体" w:hAnsi="宋体"/>
                <w:szCs w:val="18"/>
                <w:lang w:val="zh-CN"/>
              </w:rPr>
              <w:t>成为行业的引领者”的发展战略，立足于轨道交通自动化行业，坚持自主创新；在确立既有产品市场地位的同时，有计划、有步骤地拓宽公司产品线；进一步展开国际合作，适时引进、消化、吸收和再创新国外先进技术，同时将公司成熟产品推向国际市场。为适应公司发展，将建立现代企业绩效机制，理顺和健全项目管理体系，吸引人才、培养人才，持续提升核心竞争力，力争建设成国内乃至国际轨道交通行业一流的高科技现代化企业。</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问题八：公司股票锁定解禁情况？</w:t>
            </w:r>
          </w:p>
          <w:p>
            <w:pPr>
              <w:spacing w:before="0" w:after="0" w:line="360" w:lineRule="auto"/>
              <w:ind w:left="0" w:right="0" w:firstLine="48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发行上市前总股本为5100万股。截至目前公司总股本为6800万股，其中1700万股为流通股份。根据相关规定公司实际控制人孔祥洲、王伟公司股份锁定期为36个月，在股票解禁后每年转让的股份不超过本人所直接或者间接持有股份总数的 25%；在申报离职后半年内不转让本人所直接或者间接持有的公司股份。</w:t>
            </w:r>
          </w:p>
          <w:p>
            <w:pPr>
              <w:spacing w:before="0" w:after="0" w:line="360" w:lineRule="auto"/>
              <w:ind w:left="0" w:right="0" w:firstLine="420" w:firstLineChars="200"/>
              <w:jc w:val="left"/>
              <w:rPr>
                <w:rFonts w:hint="eastAsia" w:ascii="宋体" w:hAnsi="宋体" w:cs="宋体"/>
                <w:b w:val="0"/>
                <w:bCs w:val="0"/>
                <w:color w:val="000000"/>
                <w:spacing w:val="0"/>
                <w:position w:val="0"/>
                <w:sz w:val="21"/>
                <w:szCs w:val="21"/>
                <w:shd w:val="clear" w:color="050000" w:fill="auto"/>
                <w:lang w:val="en-US" w:eastAsia="zh-CN"/>
              </w:rPr>
            </w:pPr>
            <w:r>
              <w:rPr>
                <w:rFonts w:hint="eastAsia" w:ascii="宋体" w:hAnsi="宋体" w:cs="宋体"/>
                <w:b w:val="0"/>
                <w:bCs w:val="0"/>
                <w:color w:val="000000"/>
                <w:spacing w:val="0"/>
                <w:position w:val="0"/>
                <w:sz w:val="21"/>
                <w:szCs w:val="21"/>
                <w:shd w:val="clear" w:color="050000" w:fill="auto"/>
                <w:lang w:val="en-US" w:eastAsia="zh-CN"/>
              </w:rPr>
              <w:t>公司法人股东广发信德自公司股份锁定期为一年，股份锁定期满后，广发信德承诺主动再延长股份锁定期 6 个月。</w:t>
            </w:r>
          </w:p>
          <w:p>
            <w:pPr>
              <w:spacing w:before="0" w:after="0" w:line="360" w:lineRule="auto"/>
              <w:ind w:right="0"/>
              <w:jc w:val="left"/>
              <w:rPr>
                <w:rFonts w:hint="eastAsia" w:ascii="宋体" w:hAnsi="宋体" w:cs="宋体"/>
                <w:b w:val="0"/>
                <w:bCs w:val="0"/>
                <w:color w:val="000000"/>
                <w:spacing w:val="0"/>
                <w:position w:val="0"/>
                <w:sz w:val="21"/>
                <w:szCs w:val="21"/>
                <w:shd w:val="clear" w:color="050000" w:fill="auto"/>
                <w:lang w:val="en-US" w:eastAsia="zh-CN"/>
              </w:rPr>
            </w:pPr>
            <w:bookmarkStart w:id="0" w:name="_GoBack"/>
            <w:bookmarkEnd w:id="0"/>
            <w:r>
              <w:rPr>
                <w:rFonts w:hint="eastAsia" w:ascii="宋体" w:hAnsi="宋体" w:cs="宋体"/>
                <w:b w:val="0"/>
                <w:bCs w:val="0"/>
                <w:color w:val="000000"/>
                <w:spacing w:val="0"/>
                <w:position w:val="0"/>
                <w:sz w:val="21"/>
                <w:szCs w:val="21"/>
                <w:shd w:val="clear" w:color="050000" w:fill="auto"/>
                <w:lang w:val="en-US" w:eastAsia="zh-CN"/>
              </w:rPr>
              <w:t xml:space="preserve">    公司董事王勇、董事、副总经理褚飞、张忠杰，董事、副总经理兼总工程师王传启，副总经理兼董事会秘书蔡登明，副总经理张刚、财务负责人赵一环、监事会主席赵勤、监事温国旺 9 人股票锁定期为12个月。锁定期满后，在担任公司董事、监事、高级管理人员期间，每年转让的股份不超过所直接或者间接持有股份总数的 25%。公司其余发行上市前公司股东股票锁定期为12个月，锁定期满后可自由买卖。</w:t>
            </w:r>
          </w:p>
          <w:p>
            <w:pPr>
              <w:spacing w:before="0" w:after="0" w:line="360" w:lineRule="auto"/>
              <w:ind w:right="0"/>
              <w:jc w:val="left"/>
              <w:rPr>
                <w:rFonts w:hint="eastAsia" w:ascii="宋体" w:hAnsi="宋体" w:cs="宋体"/>
                <w:b/>
                <w:bCs/>
                <w:color w:val="000000"/>
                <w:spacing w:val="0"/>
                <w:position w:val="0"/>
                <w:sz w:val="24"/>
                <w:szCs w:val="24"/>
                <w:shd w:val="clear" w:color="050000" w:fill="auto"/>
                <w:lang w:val="en-US" w:eastAsia="zh-CN"/>
              </w:rPr>
            </w:pPr>
            <w:r>
              <w:rPr>
                <w:rFonts w:hint="eastAsia" w:ascii="宋体" w:hAnsi="宋体" w:cs="宋体"/>
                <w:b/>
                <w:bCs/>
                <w:color w:val="000000"/>
                <w:spacing w:val="0"/>
                <w:position w:val="0"/>
                <w:sz w:val="24"/>
                <w:szCs w:val="24"/>
                <w:shd w:val="clear" w:color="050000" w:fill="auto"/>
                <w:lang w:val="en-US" w:eastAsia="zh-CN"/>
              </w:rPr>
              <w:t>问题九：公司募集资金使用情况</w:t>
            </w:r>
          </w:p>
          <w:p>
            <w:pPr>
              <w:spacing w:before="0" w:after="0" w:line="360" w:lineRule="auto"/>
              <w:ind w:left="0" w:right="0" w:firstLine="0"/>
              <w:jc w:val="left"/>
              <w:rPr>
                <w:rFonts w:hint="eastAsia" w:ascii="宋体" w:hAnsi="宋体" w:cs="宋体"/>
                <w:b w:val="0"/>
                <w:bCs w:val="0"/>
                <w:color w:val="000000"/>
                <w:spacing w:val="0"/>
                <w:position w:val="0"/>
                <w:sz w:val="21"/>
                <w:szCs w:val="21"/>
                <w:shd w:val="clear" w:color="050000" w:fill="auto"/>
                <w:lang w:val="en-US" w:eastAsia="zh-CN"/>
              </w:rPr>
            </w:pPr>
            <w:r>
              <w:rPr>
                <w:rFonts w:hint="eastAsia"/>
                <w:lang w:val="en-US" w:eastAsia="zh-CN"/>
              </w:rPr>
              <w:t xml:space="preserve">    </w:t>
            </w:r>
            <w:r>
              <w:t>公司首次公开发行股票，募集资金净额为34339.72万元，在2014年12月份，用于子公司增资5000万元，用于偿还银行贷款7286.72万元。已累计投入募集资金总额</w:t>
            </w:r>
            <w:r>
              <w:rPr>
                <w:rFonts w:hint="eastAsia"/>
                <w:lang w:eastAsia="zh-CN"/>
              </w:rPr>
              <w:t>为</w:t>
            </w:r>
            <w:r>
              <w:t>12,286.72</w:t>
            </w:r>
            <w:r>
              <w:rPr>
                <w:rFonts w:hint="eastAsia"/>
                <w:lang w:eastAsia="zh-CN"/>
              </w:rPr>
              <w:t>万元。</w:t>
            </w:r>
          </w:p>
          <w:p>
            <w:pPr>
              <w:spacing w:before="0" w:after="0" w:line="360" w:lineRule="auto"/>
              <w:ind w:left="0" w:right="0" w:firstLine="0"/>
              <w:jc w:val="left"/>
              <w:rPr>
                <w:rFonts w:hint="eastAsia" w:ascii="宋体" w:hAnsi="宋体" w:cs="宋体"/>
                <w:color w:val="000000"/>
                <w:spacing w:val="0"/>
                <w:position w:val="0"/>
                <w:sz w:val="24"/>
                <w:shd w:val="clear" w:color="050000" w:fill="auto"/>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5</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18</w:t>
            </w:r>
            <w:r>
              <w:rPr>
                <w:rFonts w:ascii="宋体" w:hAnsi="宋体" w:eastAsia="宋体" w:cs="宋体"/>
                <w:color w:val="auto"/>
                <w:spacing w:val="0"/>
                <w:position w:val="0"/>
                <w:sz w:val="24"/>
                <w:shd w:val="clear" w:color="050000" w:fill="auto"/>
              </w:rPr>
              <w:t>日</w:t>
            </w:r>
          </w:p>
        </w:tc>
      </w:tr>
    </w:tbl>
    <w:p>
      <w:pPr>
        <w:spacing w:before="0" w:after="0" w:line="400" w:lineRule="auto"/>
        <w:ind w:left="0" w:right="0" w:firstLine="0"/>
        <w:jc w:val="both"/>
        <w:rPr>
          <w:rFonts w:ascii="Times New Roman" w:hAnsi="Times New Roman" w:eastAsia="Times New Roman" w:cs="Times New Roman"/>
          <w:color w:val="auto"/>
          <w:spacing w:val="0"/>
          <w:position w:val="0"/>
          <w:sz w:val="21"/>
          <w:shd w:val="clear" w:color="050000"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color="050000"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184357"/>
    <w:rsid w:val="02FE6776"/>
    <w:rsid w:val="0CAF495E"/>
    <w:rsid w:val="0E1651AA"/>
    <w:rsid w:val="0E4B437F"/>
    <w:rsid w:val="18FC210A"/>
    <w:rsid w:val="1C307A4E"/>
    <w:rsid w:val="1E325F1A"/>
    <w:rsid w:val="20C429D0"/>
    <w:rsid w:val="2A4547E5"/>
    <w:rsid w:val="2BA534A8"/>
    <w:rsid w:val="2E2741DA"/>
    <w:rsid w:val="2F1A73D4"/>
    <w:rsid w:val="31DA5B56"/>
    <w:rsid w:val="33A806D0"/>
    <w:rsid w:val="353E3FE9"/>
    <w:rsid w:val="39542E1A"/>
    <w:rsid w:val="39FB0130"/>
    <w:rsid w:val="3D43308F"/>
    <w:rsid w:val="3D741660"/>
    <w:rsid w:val="45011D41"/>
    <w:rsid w:val="45766216"/>
    <w:rsid w:val="4A2E5242"/>
    <w:rsid w:val="4A765636"/>
    <w:rsid w:val="4B904E89"/>
    <w:rsid w:val="4DD827C4"/>
    <w:rsid w:val="4F3E3390"/>
    <w:rsid w:val="4FA17831"/>
    <w:rsid w:val="54BC3D11"/>
    <w:rsid w:val="55640CA7"/>
    <w:rsid w:val="55A15289"/>
    <w:rsid w:val="57307B25"/>
    <w:rsid w:val="586F79A5"/>
    <w:rsid w:val="597D20E1"/>
    <w:rsid w:val="598A13F7"/>
    <w:rsid w:val="5F0458F0"/>
    <w:rsid w:val="62E66850"/>
    <w:rsid w:val="65CC2D90"/>
    <w:rsid w:val="663911C6"/>
    <w:rsid w:val="66464C58"/>
    <w:rsid w:val="73CA1587"/>
    <w:rsid w:val="746A200A"/>
    <w:rsid w:val="756C6735"/>
    <w:rsid w:val="756F513B"/>
    <w:rsid w:val="775F45E6"/>
    <w:rsid w:val="7A2902FC"/>
    <w:rsid w:val="7A7051EE"/>
    <w:rsid w:val="7BE8375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unhideWhenUsed/>
    <w:uiPriority w:val="99"/>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4">
    <w:name w:val="page number"/>
    <w:basedOn w:val="3"/>
    <w:unhideWhenUsed/>
    <w:uiPriority w:val="99"/>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2015-01-27T07:22:00Z</dcterms:created>
  <cp:lastModifiedBy>pengmg</cp:lastModifiedBy>
  <dcterms:modified xsi:type="dcterms:W3CDTF">2015-05-18T06:01:01Z</dcterms:modified>
  <dc:title>证券代码：300407                                    证券简称：凯发电气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