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0" w:after="0" w:line="400" w:lineRule="auto"/>
        <w:ind w:left="0" w:right="0" w:firstLine="0"/>
        <w:jc w:val="both"/>
        <w:rPr>
          <w:rFonts w:ascii="宋体" w:hAnsi="宋体" w:eastAsia="宋体" w:cs="宋体"/>
          <w:color w:val="000000"/>
          <w:spacing w:val="0"/>
          <w:position w:val="0"/>
          <w:sz w:val="24"/>
          <w:shd w:val="clear" w:color="050000" w:fill="auto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color="050000" w:fill="auto"/>
        </w:rPr>
        <w:t>证券代码：300407                                    证券简称：凯发电气</w:t>
      </w:r>
    </w:p>
    <w:p>
      <w:pPr>
        <w:spacing w:before="0" w:after="0" w:line="400" w:lineRule="auto"/>
        <w:ind w:left="0" w:right="0" w:firstLine="0"/>
        <w:jc w:val="center"/>
        <w:rPr>
          <w:rFonts w:ascii="宋体" w:hAnsi="宋体" w:eastAsia="宋体" w:cs="宋体"/>
          <w:b/>
          <w:color w:val="000000"/>
          <w:spacing w:val="0"/>
          <w:position w:val="0"/>
          <w:sz w:val="32"/>
          <w:shd w:val="clear" w:color="060000" w:fill="auto"/>
        </w:rPr>
      </w:pPr>
      <w:r>
        <w:rPr>
          <w:rFonts w:ascii="宋体" w:hAnsi="宋体" w:eastAsia="宋体" w:cs="宋体"/>
          <w:b/>
          <w:color w:val="000000"/>
          <w:spacing w:val="0"/>
          <w:position w:val="0"/>
          <w:sz w:val="32"/>
          <w:shd w:val="clear" w:color="060000" w:fill="auto"/>
        </w:rPr>
        <w:t>天津凯发电气股份有限公司投资者关系活动记录表</w:t>
      </w:r>
    </w:p>
    <w:p>
      <w:pPr>
        <w:spacing w:before="0" w:after="0" w:line="400" w:lineRule="auto"/>
        <w:ind w:left="0" w:right="0" w:firstLine="0"/>
        <w:jc w:val="both"/>
        <w:rPr>
          <w:rFonts w:ascii="宋体" w:hAnsi="宋体" w:eastAsia="宋体" w:cs="宋体"/>
          <w:color w:val="000000"/>
          <w:spacing w:val="0"/>
          <w:position w:val="0"/>
          <w:sz w:val="24"/>
          <w:shd w:val="clear" w:color="050000" w:fill="auto"/>
          <w:lang w:val="en-US"/>
        </w:rPr>
      </w:pPr>
      <w:r>
        <w:rPr>
          <w:rFonts w:ascii="宋体" w:hAnsi="宋体" w:eastAsia="宋体" w:cs="宋体"/>
          <w:color w:val="000000"/>
          <w:spacing w:val="0"/>
          <w:position w:val="0"/>
          <w:sz w:val="24"/>
          <w:shd w:val="clear" w:color="050000" w:fill="auto"/>
        </w:rPr>
        <w:t xml:space="preserve">                                                       编号：2015-00</w:t>
      </w:r>
      <w:r>
        <w:rPr>
          <w:rFonts w:hint="eastAsia" w:ascii="宋体" w:hAnsi="宋体" w:cs="宋体"/>
          <w:color w:val="000000"/>
          <w:spacing w:val="0"/>
          <w:position w:val="0"/>
          <w:sz w:val="24"/>
          <w:shd w:val="clear" w:color="050000" w:fill="auto"/>
          <w:lang w:val="en-US" w:eastAsia="zh-CN"/>
        </w:rPr>
        <w:t>3</w:t>
      </w:r>
    </w:p>
    <w:tbl>
      <w:tblPr>
        <w:tblStyle w:val="6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color="03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投资者关系活动类别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 w:lineRule="auto"/>
              <w:ind w:left="0" w:right="0" w:firstLine="482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■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 xml:space="preserve">特定对象调研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分析师会议</w:t>
            </w:r>
          </w:p>
          <w:p>
            <w:pPr>
              <w:spacing w:before="0" w:after="0" w:line="360" w:lineRule="auto"/>
              <w:ind w:left="0" w:right="0" w:firstLine="482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 xml:space="preserve">媒体采访  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业绩说明会</w:t>
            </w:r>
          </w:p>
          <w:p>
            <w:pPr>
              <w:spacing w:before="0" w:after="0" w:line="360" w:lineRule="auto"/>
              <w:ind w:left="0" w:right="0" w:firstLine="482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 xml:space="preserve">新闻发布会          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路演活动</w:t>
            </w:r>
          </w:p>
          <w:p>
            <w:pPr>
              <w:tabs>
                <w:tab w:val="center" w:pos="3199"/>
                <w:tab w:val="left" w:pos="3285"/>
              </w:tabs>
              <w:spacing w:before="0" w:after="0" w:line="360" w:lineRule="auto"/>
              <w:ind w:left="0" w:right="0" w:firstLine="482"/>
              <w:jc w:val="both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现场参观</w:t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ab/>
            </w: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 xml:space="preserve">           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一对一沟通</w:t>
            </w:r>
          </w:p>
          <w:p>
            <w:pPr>
              <w:tabs>
                <w:tab w:val="center" w:pos="3199"/>
              </w:tabs>
              <w:spacing w:before="0" w:after="0" w:line="360" w:lineRule="auto"/>
              <w:ind w:left="0" w:right="0" w:firstLine="482"/>
              <w:jc w:val="both"/>
              <w:rPr>
                <w:rFonts w:ascii="宋体" w:hAnsi="宋体" w:eastAsia="宋体" w:cs="宋体"/>
                <w:spacing w:val="0"/>
                <w:position w:val="0"/>
                <w:shd w:val="clear" w:color="03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□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其他 （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u w:val="single"/>
                <w:shd w:val="clear" w:color="060000" w:fill="auto"/>
              </w:rPr>
              <w:t>请文字说明其他活动内容）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color="03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参与单位名称及人员姓名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3199"/>
                <w:tab w:val="left" w:pos="3285"/>
              </w:tabs>
              <w:spacing w:before="0" w:after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东方基金管理有限责任公司   李瑞</w:t>
            </w:r>
          </w:p>
          <w:p>
            <w:pPr>
              <w:tabs>
                <w:tab w:val="center" w:pos="3199"/>
                <w:tab w:val="left" w:pos="3285"/>
              </w:tabs>
              <w:spacing w:before="0" w:after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 xml:space="preserve">招商证券股份有限公司    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 xml:space="preserve">   胡毅</w:t>
            </w:r>
          </w:p>
          <w:p>
            <w:pPr>
              <w:tabs>
                <w:tab w:val="center" w:pos="3199"/>
                <w:tab w:val="left" w:pos="3285"/>
              </w:tabs>
              <w:spacing w:before="0" w:after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长信基金管理有限责任公司   陈言午</w:t>
            </w:r>
          </w:p>
          <w:p>
            <w:pPr>
              <w:tabs>
                <w:tab w:val="center" w:pos="3199"/>
                <w:tab w:val="left" w:pos="3285"/>
              </w:tabs>
              <w:spacing w:before="0" w:after="0" w:line="360" w:lineRule="auto"/>
              <w:ind w:right="0"/>
              <w:jc w:val="both"/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恒安标准人寿               徐南南</w:t>
            </w:r>
          </w:p>
          <w:p>
            <w:pPr>
              <w:tabs>
                <w:tab w:val="center" w:pos="3199"/>
                <w:tab w:val="left" w:pos="3285"/>
              </w:tabs>
              <w:spacing w:before="0" w:after="0" w:line="360" w:lineRule="auto"/>
              <w:ind w:right="0"/>
              <w:jc w:val="both"/>
              <w:rPr>
                <w:rFonts w:hint="eastAsia" w:ascii="宋体" w:hAnsi="宋体" w:cs="宋体"/>
                <w:color w:val="auto"/>
                <w:spacing w:val="0"/>
                <w:position w:val="0"/>
                <w:shd w:val="clear" w:color="040000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新华基金管理有限公司       崔古昕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时间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2015年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日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上午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09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：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00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-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12：00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地点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凯发电气股份有限公司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上市公司接待人员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 xml:space="preserve">蔡登明（董事会秘书）    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王瑞瑾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证券事务代表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shd w:val="clear" w:color="030000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shd w:val="clear" w:color="050000" w:fill="auto"/>
              </w:rPr>
              <w:t>投资者关系活动主要内容介绍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center" w:pos="3199"/>
                <w:tab w:val="left" w:pos="3285"/>
              </w:tabs>
              <w:spacing w:before="0" w:after="0" w:line="360" w:lineRule="auto"/>
              <w:ind w:right="0"/>
              <w:jc w:val="both"/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hd w:val="clear" w:color="05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 xml:space="preserve">    本次会议，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东方基金管理有限责任公司李瑞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、招商证券股份有限公司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胡毅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长信基金管理有限责任公司陈言午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恒安标准人寿徐南南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新华基金管理有限公司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崔古昕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与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公司董事会秘书蔡登明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先生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就公司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基本情况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、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公司子公司情况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、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eastAsia="zh-CN"/>
              </w:rPr>
              <w:t>公司毛利率波动、京津冀协同发展对公司影响及公司发展战略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等问题展开沟通，会议主要内容纪要如下：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eastAsia="zh-CN"/>
              </w:rPr>
              <w:t>问题一：介绍公司基本情况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eastAsia="zh-CN"/>
              </w:rPr>
            </w:pPr>
            <w:r>
              <w:rPr>
                <w:rFonts w:cs="Times New Roman"/>
                <w:sz w:val="24"/>
              </w:rPr>
              <w:t>公司是由天津新技术产业园区凯发电气成套设备有限公司于2008年1月30日依法整体变更设立的股份有限公司，</w:t>
            </w:r>
            <w:r>
              <w:rPr>
                <w:rFonts w:cs="Times New Roman"/>
                <w:sz w:val="24"/>
                <w:szCs w:val="24"/>
              </w:rPr>
              <w:t>主营业务为</w:t>
            </w:r>
            <w:r>
              <w:rPr>
                <w:rFonts w:cs="Times New Roman"/>
                <w:sz w:val="24"/>
              </w:rPr>
              <w:t>铁路供电及城市</w:t>
            </w:r>
            <w:r>
              <w:rPr>
                <w:rFonts w:cs="Times New Roman"/>
                <w:sz w:val="24"/>
                <w:lang w:val="zh-CN"/>
              </w:rPr>
              <w:t>轨道交通自动化设备和系统的研发、生产、销售与技术服务。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eastAsia="zh-CN"/>
              </w:rPr>
              <w:t>问题二：子公司及合营公司情况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南凯成立于2002年3月7日，主营业务为铁路供电调度自动化系统的研发、生产与销售。北京瑞凯成立于2005年1月14日主营业务为铁路供电调度自动化系统软件产品的开发与销售。天津东凯成立于2003年4月4日，主营业务为铁路供电综合自动化系统软件及装置产品的研发、生产与销售。公司持有天津东凯65%的股权。天津保富成立于2009年8月20日，主营业务为城市轨道交通直流开关柜设备的研发、生产和销售。公司持有天津保富51%的股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adjustRightInd w:val="0"/>
              <w:snapToGrid w:val="0"/>
              <w:spacing w:before="120" w:beforeLines="50" w:line="360" w:lineRule="auto"/>
              <w:ind w:firstLine="480" w:firstLineChars="200"/>
              <w:rPr>
                <w:rFonts w:ascii="宋体" w:hAnsi="宋体" w:eastAsia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公司拟成立的</w:t>
            </w:r>
            <w:r>
              <w:rPr>
                <w:rFonts w:ascii="宋体" w:hAnsi="宋体" w:cs="Arial"/>
                <w:sz w:val="24"/>
                <w:szCs w:val="24"/>
              </w:rPr>
              <w:t>天津</w:t>
            </w:r>
            <w:r>
              <w:rPr>
                <w:rFonts w:hint="eastAsia" w:ascii="Arial" w:hAnsi="Arial" w:cs="Arial"/>
                <w:sz w:val="24"/>
                <w:szCs w:val="24"/>
              </w:rPr>
              <w:t>阿尔法尤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联</w:t>
            </w:r>
            <w:r>
              <w:rPr>
                <w:rFonts w:ascii="宋体" w:hAnsi="宋体" w:cs="Arial"/>
                <w:sz w:val="24"/>
                <w:szCs w:val="24"/>
              </w:rPr>
              <w:t>电气有限公司</w:t>
            </w:r>
            <w:r>
              <w:rPr>
                <w:rFonts w:hint="eastAsia" w:ascii="宋体" w:hAnsi="宋体" w:cs="Arial"/>
                <w:sz w:val="24"/>
                <w:szCs w:val="24"/>
                <w:lang w:eastAsia="zh-CN"/>
              </w:rPr>
              <w:t>，主要经营范围为：</w:t>
            </w:r>
            <w:r>
              <w:rPr>
                <w:rFonts w:hint="eastAsia" w:ascii="Arial" w:hAnsi="Arial" w:cs="Arial"/>
                <w:sz w:val="24"/>
                <w:szCs w:val="24"/>
              </w:rPr>
              <w:t>开发、生产、销售适用于城市轨道交通及铁路供电系统和车辆的相关设备；提供技术咨询及服务。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成立该合资公司有利于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培育新的利润增长点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为公司下一步战略发展提供有效支持。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eastAsia="zh-CN"/>
              </w:rPr>
              <w:t>问题三：毛利率波动的影响因素</w:t>
            </w:r>
          </w:p>
          <w:p>
            <w:pPr>
              <w:spacing w:before="0" w:after="0" w:line="360" w:lineRule="auto"/>
              <w:ind w:left="0" w:right="0" w:firstLine="480" w:firstLineChars="200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轨道交通自动化产品由于准入门槛高，技术附加值大，产品的平均毛利率水平相对较高。未来，随着轨道交通行业加剧内部的竞争，可能会导致毛利率下降。但是，由于产业规模的扩大，轨道交通自动化设备制造行业的整体利润水平将保持相对稳定。</w:t>
            </w:r>
          </w:p>
          <w:p>
            <w:pPr>
              <w:spacing w:before="0" w:after="0" w:line="360" w:lineRule="auto"/>
              <w:ind w:left="0" w:right="0" w:firstLine="480" w:firstLineChars="200"/>
              <w:jc w:val="left"/>
              <w:rPr>
                <w:rFonts w:hint="eastAsia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eastAsia="zh-CN"/>
              </w:rPr>
              <w:t>除了上述因素外，单个大额合同的毛利率也会影响公司整体毛利率水平。</w:t>
            </w:r>
          </w:p>
          <w:p>
            <w:pPr>
              <w:spacing w:before="0" w:after="0" w:line="360" w:lineRule="auto"/>
              <w:ind w:right="0"/>
              <w:jc w:val="left"/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eastAsia="zh-CN"/>
              </w:rPr>
              <w:t>问题四：</w:t>
            </w: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  <w:t xml:space="preserve">合同签订到收入确认的时间 </w:t>
            </w:r>
          </w:p>
          <w:p>
            <w:pPr>
              <w:spacing w:before="0" w:after="0" w:line="360" w:lineRule="auto"/>
              <w:ind w:right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  <w:t xml:space="preserve">公司目前签订的合同具有收入跨期性，一般为2-3年。 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问题五：京津冀协同发展对公司的影响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公司积极融入发展中，在三地基础设施建设、城际铁路、地铁等方向寻求机遇。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问题六：检测设备是否是公司未来发展的重点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  <w:t xml:space="preserve"> 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pacing w:val="0"/>
                <w:position w:val="0"/>
                <w:sz w:val="21"/>
                <w:szCs w:val="21"/>
                <w:shd w:val="clear" w:color="050000" w:fill="auto"/>
                <w:lang w:val="en-US" w:eastAsia="zh-CN"/>
              </w:rPr>
              <w:t xml:space="preserve">      供电检测设备现在在公司收入占比较小，未来，公司将大力发展募投项目包括铁路供电综合自动化系统等  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问题七：公司未来几年的业绩增长情况</w:t>
            </w:r>
          </w:p>
          <w:p>
            <w:pPr>
              <w:spacing w:before="0" w:after="0" w:line="360" w:lineRule="auto"/>
              <w:ind w:left="0" w:right="0" w:firstLine="0"/>
              <w:jc w:val="left"/>
              <w:rPr>
                <w:rFonts w:hint="eastAsia" w:ascii="宋体" w:hAnsi="宋体" w:cs="宋体"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 xml:space="preserve">     目前国家关于铁路的投资属于稳健增长，公司在做好现有业务的基础上，将会培育新的利润增长点，努力回报股东。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附件清单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日期</w:t>
            </w:r>
          </w:p>
        </w:tc>
        <w:tc>
          <w:tcPr>
            <w:tcW w:w="6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hd w:val="clear" w:color="040000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2015年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月</w:t>
            </w:r>
            <w:r>
              <w:rPr>
                <w:rFonts w:hint="eastAsia" w:ascii="宋体" w:hAnsi="宋体" w:cs="宋体"/>
                <w:color w:val="auto"/>
                <w:spacing w:val="0"/>
                <w:position w:val="0"/>
                <w:sz w:val="24"/>
                <w:shd w:val="clear" w:color="050000" w:fill="auto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color="050000" w:fill="auto"/>
              </w:rPr>
              <w:t>日</w:t>
            </w:r>
          </w:p>
        </w:tc>
      </w:tr>
    </w:tbl>
    <w:p>
      <w:pPr>
        <w:spacing w:before="0" w:after="0" w:line="40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color="050000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color="050000" w:fill="auto"/>
        </w:rPr>
      </w:pPr>
    </w:p>
    <w:sectPr>
      <w:headerReference r:id="rId4" w:type="default"/>
      <w:footerReference r:id="rId5" w:type="default"/>
      <w:pgSz w:w="11906" w:h="16838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1184357"/>
    <w:rsid w:val="017D7699"/>
    <w:rsid w:val="02FE6776"/>
    <w:rsid w:val="0CAF495E"/>
    <w:rsid w:val="0E1651AA"/>
    <w:rsid w:val="0E4B437F"/>
    <w:rsid w:val="10F555E2"/>
    <w:rsid w:val="18104A8B"/>
    <w:rsid w:val="18FC210A"/>
    <w:rsid w:val="1C307A4E"/>
    <w:rsid w:val="1C885EDE"/>
    <w:rsid w:val="1E325F1A"/>
    <w:rsid w:val="20C429D0"/>
    <w:rsid w:val="2A4547E5"/>
    <w:rsid w:val="2BA534A8"/>
    <w:rsid w:val="2E2741DA"/>
    <w:rsid w:val="2F1A73D4"/>
    <w:rsid w:val="30CA159C"/>
    <w:rsid w:val="31DA5B56"/>
    <w:rsid w:val="33A806D0"/>
    <w:rsid w:val="353E3FE9"/>
    <w:rsid w:val="39542E1A"/>
    <w:rsid w:val="39FB0130"/>
    <w:rsid w:val="3D43308F"/>
    <w:rsid w:val="3D741660"/>
    <w:rsid w:val="43F07D06"/>
    <w:rsid w:val="45011D41"/>
    <w:rsid w:val="45423E2F"/>
    <w:rsid w:val="45766216"/>
    <w:rsid w:val="45986DBD"/>
    <w:rsid w:val="4A2E5242"/>
    <w:rsid w:val="4A765636"/>
    <w:rsid w:val="4B904E89"/>
    <w:rsid w:val="4DD827C4"/>
    <w:rsid w:val="4DE6535D"/>
    <w:rsid w:val="4F3E3390"/>
    <w:rsid w:val="4FA17831"/>
    <w:rsid w:val="54BC3D11"/>
    <w:rsid w:val="55640CA7"/>
    <w:rsid w:val="55A15289"/>
    <w:rsid w:val="57307B25"/>
    <w:rsid w:val="586F79A5"/>
    <w:rsid w:val="597D20E1"/>
    <w:rsid w:val="59885EF4"/>
    <w:rsid w:val="598A13F7"/>
    <w:rsid w:val="5BFE71A2"/>
    <w:rsid w:val="5EE834BB"/>
    <w:rsid w:val="5F0458F0"/>
    <w:rsid w:val="62E66850"/>
    <w:rsid w:val="65CC2D90"/>
    <w:rsid w:val="663911C6"/>
    <w:rsid w:val="66464C58"/>
    <w:rsid w:val="68282BEF"/>
    <w:rsid w:val="69572501"/>
    <w:rsid w:val="69EE3CFA"/>
    <w:rsid w:val="73CA1587"/>
    <w:rsid w:val="746A200A"/>
    <w:rsid w:val="756C46A5"/>
    <w:rsid w:val="756C6735"/>
    <w:rsid w:val="756F513B"/>
    <w:rsid w:val="775F45E6"/>
    <w:rsid w:val="7A2902FC"/>
    <w:rsid w:val="7A7051EE"/>
    <w:rsid w:val="7A8E0021"/>
    <w:rsid w:val="7BE8375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99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uiPriority w:val="99"/>
    <w:rPr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正文正文"/>
    <w:basedOn w:val="1"/>
    <w:uiPriority w:val="0"/>
    <w:pPr>
      <w:spacing w:beforeLines="50" w:line="360" w:lineRule="auto"/>
      <w:ind w:firstLine="480" w:firstLineChars="200"/>
    </w:pPr>
    <w:rPr>
      <w:rFonts w:ascii="宋体" w:hAnsi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2015-01-27T07:22:00Z</dcterms:created>
  <cp:lastModifiedBy>Administrator</cp:lastModifiedBy>
  <dcterms:modified xsi:type="dcterms:W3CDTF">2015-05-21T00:32:30Z</dcterms:modified>
  <dc:title>证券代码：300407                                    证券简称：凯发电气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