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1434EB" w:rsidRDefault="00EE1C10" w:rsidP="00375010">
      <w:pPr>
        <w:spacing w:beforeLines="50" w:afterLines="50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1434EB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证券代码：000001                                  证券简称：</w:t>
      </w:r>
      <w:r w:rsidR="00D96584" w:rsidRPr="001434EB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平安银行</w:t>
      </w:r>
    </w:p>
    <w:p w:rsidR="00EE1C10" w:rsidRPr="001434EB" w:rsidRDefault="003317E5" w:rsidP="00375010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1434EB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平安</w:t>
      </w:r>
      <w:r w:rsidR="00EE1C10" w:rsidRPr="001434EB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1434EB" w:rsidRDefault="00EE1C10" w:rsidP="00EE1C10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1434EB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1434EB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434EB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1434EB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434EB" w:rsidRDefault="00FF0263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1434E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特定对象调研        </w:t>
            </w:r>
            <w:r w:rsidR="00EE1C10"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1434EB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分析师会议</w:t>
            </w:r>
          </w:p>
          <w:p w:rsidR="00EE1C10" w:rsidRPr="001434EB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1434E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媒体采访            </w:t>
            </w:r>
            <w:r w:rsidR="00FF0263"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1434EB">
              <w:rPr>
                <w:rFonts w:asciiTheme="minorEastAsia" w:eastAsiaTheme="minorEastAsia" w:hAnsiTheme="minorEastAsia" w:hint="eastAsia"/>
                <w:sz w:val="28"/>
                <w:szCs w:val="28"/>
              </w:rPr>
              <w:t>业绩说明会</w:t>
            </w:r>
          </w:p>
          <w:p w:rsidR="00EE1C10" w:rsidRPr="001434EB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1434EB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新闻发布会          </w:t>
            </w:r>
            <w:r w:rsidR="00D87038"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1434EB">
              <w:rPr>
                <w:rFonts w:asciiTheme="minorEastAsia" w:eastAsiaTheme="minorEastAsia" w:hAnsiTheme="minorEastAsia" w:hint="eastAsia"/>
                <w:sz w:val="28"/>
                <w:szCs w:val="28"/>
              </w:rPr>
              <w:t>路演活动</w:t>
            </w:r>
          </w:p>
          <w:p w:rsidR="00EE1C10" w:rsidRPr="001434EB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1434EB">
              <w:rPr>
                <w:rFonts w:asciiTheme="minorEastAsia" w:eastAsiaTheme="minorEastAsia" w:hAnsiTheme="minorEastAsia" w:hint="eastAsia"/>
                <w:sz w:val="28"/>
                <w:szCs w:val="28"/>
              </w:rPr>
              <w:t>现场参观</w:t>
            </w: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EE1C10" w:rsidRPr="001434EB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1434EB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</w:t>
            </w:r>
          </w:p>
        </w:tc>
      </w:tr>
      <w:tr w:rsidR="00EE1C10" w:rsidRPr="001434EB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434EB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434EB" w:rsidRDefault="00375010" w:rsidP="00B84A8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/>
                <w:szCs w:val="21"/>
              </w:rPr>
              <w:t>券商、基金等各类投资者</w:t>
            </w:r>
          </w:p>
        </w:tc>
      </w:tr>
      <w:tr w:rsidR="00EE1C10" w:rsidRPr="001434EB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434EB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434EB" w:rsidRDefault="0043629D" w:rsidP="00375010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862CF2" w:rsidRPr="001434EB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5</w:t>
            </w: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375010"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5</w:t>
            </w: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375010"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11</w:t>
            </w: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1434EB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434EB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434EB" w:rsidRDefault="00FE093E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1434EB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434EB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434EB" w:rsidRDefault="00862CF2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1434EB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434EB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1434EB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434EB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862CF2" w:rsidRPr="001434EB" w:rsidRDefault="00862CF2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  <w:p w:rsidR="00FA1FC9" w:rsidRPr="001434EB" w:rsidRDefault="00FA1FC9" w:rsidP="00FA1FC9">
            <w:pPr>
              <w:pStyle w:val="2"/>
              <w:numPr>
                <w:ilvl w:val="0"/>
                <w:numId w:val="23"/>
              </w:numPr>
              <w:outlineLvl w:val="1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Toc418796587"/>
            <w:r w:rsidRPr="001434EB">
              <w:rPr>
                <w:rFonts w:asciiTheme="minorEastAsia" w:eastAsiaTheme="minorEastAsia" w:hAnsiTheme="minorEastAsia" w:hint="eastAsia"/>
                <w:sz w:val="24"/>
                <w:szCs w:val="24"/>
              </w:rPr>
              <w:t>未来业务条</w:t>
            </w:r>
            <w:proofErr w:type="gramStart"/>
            <w:r w:rsidRPr="001434EB">
              <w:rPr>
                <w:rFonts w:asciiTheme="minorEastAsia" w:eastAsiaTheme="minorEastAsia" w:hAnsiTheme="minorEastAsia" w:hint="eastAsia"/>
                <w:sz w:val="24"/>
                <w:szCs w:val="24"/>
              </w:rPr>
              <w:t>线战略</w:t>
            </w:r>
            <w:proofErr w:type="gramEnd"/>
            <w:r w:rsidRPr="001434EB">
              <w:rPr>
                <w:rFonts w:asciiTheme="minorEastAsia" w:eastAsiaTheme="minorEastAsia" w:hAnsiTheme="minorEastAsia" w:hint="eastAsia"/>
                <w:sz w:val="24"/>
                <w:szCs w:val="24"/>
              </w:rPr>
              <w:t>定位，对公、零售和同业业务在未来各个阶段的相对定位，以及各阶段准备重点发展的具体业务？</w:t>
            </w:r>
            <w:bookmarkEnd w:id="0"/>
          </w:p>
          <w:p w:rsidR="00FA1FC9" w:rsidRPr="001434EB" w:rsidRDefault="00FA1FC9" w:rsidP="00FA1FC9">
            <w:pPr>
              <w:widowControl/>
              <w:adjustRightInd w:val="0"/>
              <w:snapToGrid w:val="0"/>
              <w:spacing w:afterLines="20"/>
              <w:ind w:firstLine="42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2015年是我行确立未来发展趋势的关键期，更是我行向股份制商业银行第二梯队目标迈进的突破期。我行2015年的具体行动路径如下：继续坚持“变革、创新、发展”的指导思想，围绕“快增长、调结构、推创新、做主流、控风险、强管理”的经营策略，以“专业化、集约化、综合金融和互联网金融”四大特色为抓手，以橙e网、行E通、金橙俱乐部、口袋银行、直通银行等平台战略为支撑，不断创新产品、服务和商业模式，加快线上线</w:t>
            </w:r>
            <w:proofErr w:type="gramStart"/>
            <w:r w:rsidRPr="001434E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下业务</w:t>
            </w:r>
            <w:proofErr w:type="gramEnd"/>
            <w:r w:rsidRPr="001434E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融合，加大跨界业务整合，深耕产业链金融，不断转变风险理念，强化风险管控措施，提升精细化管理水平，</w:t>
            </w:r>
            <w:r w:rsidRPr="001434EB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推动各项业务健康、快速发展。</w:t>
            </w:r>
          </w:p>
          <w:p w:rsidR="00FA1FC9" w:rsidRPr="001434EB" w:rsidRDefault="00FA1FC9" w:rsidP="00FA1FC9">
            <w:pPr>
              <w:pStyle w:val="2"/>
              <w:numPr>
                <w:ilvl w:val="0"/>
                <w:numId w:val="23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34EB">
              <w:rPr>
                <w:rFonts w:asciiTheme="minorEastAsia" w:eastAsiaTheme="minorEastAsia" w:hAnsiTheme="minorEastAsia" w:hint="eastAsia"/>
                <w:sz w:val="24"/>
                <w:szCs w:val="24"/>
              </w:rPr>
              <w:t>贷</w:t>
            </w:r>
            <w:proofErr w:type="gramStart"/>
            <w:r w:rsidRPr="001434EB">
              <w:rPr>
                <w:rFonts w:asciiTheme="minorEastAsia" w:eastAsiaTheme="minorEastAsia" w:hAnsiTheme="minorEastAsia" w:hint="eastAsia"/>
                <w:sz w:val="24"/>
                <w:szCs w:val="24"/>
              </w:rPr>
              <w:t>贷</w:t>
            </w:r>
            <w:proofErr w:type="gramEnd"/>
            <w:r w:rsidRPr="001434EB">
              <w:rPr>
                <w:rFonts w:asciiTheme="minorEastAsia" w:eastAsiaTheme="minorEastAsia" w:hAnsiTheme="minorEastAsia" w:hint="eastAsia"/>
                <w:sz w:val="24"/>
                <w:szCs w:val="24"/>
              </w:rPr>
              <w:t>平安产品简介</w:t>
            </w:r>
          </w:p>
          <w:p w:rsidR="00FA1FC9" w:rsidRPr="001434EB" w:rsidRDefault="00FA1FC9" w:rsidP="001434EB">
            <w:pPr>
              <w:adjustRightInd w:val="0"/>
              <w:snapToGrid w:val="0"/>
              <w:spacing w:afterLines="20"/>
              <w:ind w:firstLineChars="200" w:firstLine="480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1）定义：贷</w:t>
            </w:r>
            <w:proofErr w:type="gramStart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贷</w:t>
            </w:r>
            <w:proofErr w:type="gramEnd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平安是平安银行推出的专为微型企业和个体工商户服务的</w:t>
            </w:r>
            <w:proofErr w:type="gramStart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集支付</w:t>
            </w:r>
            <w:proofErr w:type="gramEnd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结算、循环信用授信、综合金融服务于一体的产品和服务平台，其拥有“产品+载体+平台”的丰富内涵。</w:t>
            </w:r>
          </w:p>
          <w:p w:rsidR="00FA1FC9" w:rsidRPr="001434EB" w:rsidRDefault="00FA1FC9" w:rsidP="001434EB">
            <w:pPr>
              <w:adjustRightInd w:val="0"/>
              <w:snapToGrid w:val="0"/>
              <w:spacing w:afterLines="20"/>
              <w:ind w:firstLineChars="200" w:firstLine="480"/>
              <w:rPr>
                <w:rFonts w:asciiTheme="minorEastAsia" w:eastAsiaTheme="minorEastAsia" w:hAnsiTheme="minorEastAsia" w:cs="楷体_GB2312"/>
                <w:sz w:val="24"/>
              </w:rPr>
            </w:pPr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2）融资方面，主要聚焦于大消费行业，围绕“衣、食、住、行</w:t>
            </w:r>
            <w:r w:rsidRPr="001434EB">
              <w:rPr>
                <w:rFonts w:asciiTheme="minorEastAsia" w:eastAsiaTheme="minorEastAsia" w:hAnsiTheme="minorEastAsia" w:cs="楷体_GB2312" w:hint="eastAsia"/>
                <w:sz w:val="24"/>
              </w:rPr>
              <w:t>、玩、健康”等民生行业，专注于“两圈一链”（有形商圈、无形商圈和产业链）微型企业，授信期限</w:t>
            </w:r>
            <w:r w:rsidRPr="001434EB">
              <w:rPr>
                <w:rFonts w:asciiTheme="minorEastAsia" w:eastAsiaTheme="minorEastAsia" w:hAnsiTheme="minorEastAsia" w:cs="楷体_GB2312"/>
                <w:sz w:val="24"/>
              </w:rPr>
              <w:t>10</w:t>
            </w:r>
            <w:r w:rsidRPr="001434EB">
              <w:rPr>
                <w:rFonts w:asciiTheme="minorEastAsia" w:eastAsiaTheme="minorEastAsia" w:hAnsiTheme="minorEastAsia" w:cs="楷体_GB2312" w:hint="eastAsia"/>
                <w:sz w:val="24"/>
              </w:rPr>
              <w:t>年，单笔期限</w:t>
            </w:r>
            <w:r w:rsidRPr="001434EB">
              <w:rPr>
                <w:rFonts w:asciiTheme="minorEastAsia" w:eastAsiaTheme="minorEastAsia" w:hAnsiTheme="minorEastAsia" w:cs="楷体_GB2312"/>
                <w:sz w:val="24"/>
              </w:rPr>
              <w:t>3</w:t>
            </w:r>
            <w:r w:rsidRPr="001434EB">
              <w:rPr>
                <w:rFonts w:asciiTheme="minorEastAsia" w:eastAsiaTheme="minorEastAsia" w:hAnsiTheme="minorEastAsia" w:cs="楷体_GB2312" w:hint="eastAsia"/>
                <w:sz w:val="24"/>
              </w:rPr>
              <w:t>个月，循环授信额度</w:t>
            </w:r>
            <w:r w:rsidRPr="001434EB">
              <w:rPr>
                <w:rFonts w:asciiTheme="minorEastAsia" w:eastAsiaTheme="minorEastAsia" w:hAnsiTheme="minorEastAsia" w:cs="楷体_GB2312"/>
                <w:sz w:val="24"/>
              </w:rPr>
              <w:t>100</w:t>
            </w:r>
            <w:r w:rsidRPr="001434EB">
              <w:rPr>
                <w:rFonts w:asciiTheme="minorEastAsia" w:eastAsiaTheme="minorEastAsia" w:hAnsiTheme="minorEastAsia" w:cs="楷体_GB2312" w:hint="eastAsia"/>
                <w:sz w:val="24"/>
              </w:rPr>
              <w:t>万以下，</w:t>
            </w:r>
            <w:r w:rsidRPr="001434EB">
              <w:rPr>
                <w:rFonts w:asciiTheme="minorEastAsia" w:eastAsiaTheme="minorEastAsia" w:hAnsiTheme="minorEastAsia" w:hint="eastAsia"/>
                <w:sz w:val="24"/>
              </w:rPr>
              <w:t>随借随还，按日计息。</w:t>
            </w:r>
          </w:p>
          <w:p w:rsidR="00FA1FC9" w:rsidRPr="001434EB" w:rsidRDefault="00FA1FC9" w:rsidP="001434EB">
            <w:pPr>
              <w:adjustRightInd w:val="0"/>
              <w:snapToGrid w:val="0"/>
              <w:spacing w:afterLines="20"/>
              <w:ind w:firstLineChars="200" w:firstLine="480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cs="楷体_GB2312" w:hint="eastAsia"/>
                <w:sz w:val="24"/>
              </w:rPr>
              <w:t>3）授</w:t>
            </w:r>
            <w:proofErr w:type="gramStart"/>
            <w:r w:rsidRPr="001434EB">
              <w:rPr>
                <w:rFonts w:asciiTheme="minorEastAsia" w:eastAsiaTheme="minorEastAsia" w:hAnsiTheme="minorEastAsia" w:cs="楷体_GB2312" w:hint="eastAsia"/>
                <w:sz w:val="24"/>
              </w:rPr>
              <w:t>信政策</w:t>
            </w:r>
            <w:proofErr w:type="gramEnd"/>
            <w:r w:rsidRPr="001434EB">
              <w:rPr>
                <w:rFonts w:asciiTheme="minorEastAsia" w:eastAsiaTheme="minorEastAsia" w:hAnsiTheme="minorEastAsia" w:cs="楷体_GB2312" w:hint="eastAsia"/>
                <w:sz w:val="24"/>
              </w:rPr>
              <w:t>和业务流程上，为提高对小</w:t>
            </w:r>
            <w:proofErr w:type="gramStart"/>
            <w:r w:rsidRPr="001434EB">
              <w:rPr>
                <w:rFonts w:asciiTheme="minorEastAsia" w:eastAsiaTheme="minorEastAsia" w:hAnsiTheme="minorEastAsia" w:cs="楷体_GB2312" w:hint="eastAsia"/>
                <w:sz w:val="24"/>
              </w:rPr>
              <w:t>微企业</w:t>
            </w:r>
            <w:proofErr w:type="gramEnd"/>
            <w:r w:rsidRPr="001434EB">
              <w:rPr>
                <w:rFonts w:asciiTheme="minorEastAsia" w:eastAsiaTheme="minorEastAsia" w:hAnsiTheme="minorEastAsia" w:cs="楷体_GB2312" w:hint="eastAsia"/>
                <w:sz w:val="24"/>
              </w:rPr>
              <w:t>支持力度，起始政策性额</w:t>
            </w:r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度从</w:t>
            </w:r>
            <w:r w:rsidRPr="001434EB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>30</w:t>
            </w:r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万、</w:t>
            </w:r>
            <w:r w:rsidRPr="001434EB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>50</w:t>
            </w:r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万、</w:t>
            </w:r>
            <w:r w:rsidRPr="001434EB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>80</w:t>
            </w:r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万不等，在业务流程上采用信贷工厂作业模式，做到</w:t>
            </w:r>
            <w:r w:rsidRPr="001434EB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>24</w:t>
            </w:r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小时审批回复。</w:t>
            </w:r>
          </w:p>
          <w:p w:rsidR="00FA1FC9" w:rsidRPr="001434EB" w:rsidRDefault="00FA1FC9" w:rsidP="001434EB">
            <w:pPr>
              <w:adjustRightInd w:val="0"/>
              <w:snapToGrid w:val="0"/>
              <w:spacing w:afterLines="20"/>
              <w:ind w:firstLineChars="200" w:firstLine="480"/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4）服务渠道上，从客户体验出发全方位开发了电话银行、网上银行、手机银行、</w:t>
            </w:r>
            <w:proofErr w:type="gramStart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微信银行</w:t>
            </w:r>
            <w:proofErr w:type="gramEnd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、短信银行、柜面渠道，将贷</w:t>
            </w:r>
            <w:proofErr w:type="gramStart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贷</w:t>
            </w:r>
            <w:proofErr w:type="gramEnd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平安打造为我行小</w:t>
            </w:r>
            <w:proofErr w:type="gramStart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微企业</w:t>
            </w:r>
            <w:proofErr w:type="gramEnd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综合金融服务平台，并推出了“橙e网”作为小</w:t>
            </w:r>
            <w:proofErr w:type="gramStart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微企业</w:t>
            </w:r>
            <w:proofErr w:type="gramEnd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的门户服务平台，运用互联网思维开发了移动收款、橙e付、生意管家等适合小</w:t>
            </w:r>
            <w:proofErr w:type="gramStart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微客户</w:t>
            </w:r>
            <w:proofErr w:type="gramEnd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特征的支付结算类产品。</w:t>
            </w:r>
          </w:p>
          <w:p w:rsidR="00FA1FC9" w:rsidRPr="001434EB" w:rsidRDefault="00FA1FC9" w:rsidP="00FA1FC9">
            <w:pPr>
              <w:pStyle w:val="2"/>
              <w:numPr>
                <w:ilvl w:val="0"/>
                <w:numId w:val="23"/>
              </w:num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434EB">
              <w:rPr>
                <w:rFonts w:asciiTheme="minorEastAsia" w:eastAsiaTheme="minorEastAsia" w:hAnsiTheme="minorEastAsia" w:hint="eastAsia"/>
                <w:sz w:val="24"/>
                <w:szCs w:val="24"/>
              </w:rPr>
              <w:t>关于资产质量</w:t>
            </w:r>
          </w:p>
          <w:p w:rsidR="00FA1FC9" w:rsidRPr="001434EB" w:rsidRDefault="00FA1FC9" w:rsidP="00FA1FC9">
            <w:pPr>
              <w:adjustRightInd w:val="0"/>
              <w:snapToGrid w:val="0"/>
              <w:spacing w:afterLines="20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截至一季度末，我行不良贷款余额132亿，不良率1.17%，拨备覆盖率173%，低于行业平均不良率水平。新增不良贷款的行业主要集中在零售贷款、批发零售业和制造业：</w:t>
            </w:r>
          </w:p>
          <w:p w:rsidR="00FA1FC9" w:rsidRPr="001434EB" w:rsidRDefault="00FA1FC9" w:rsidP="00FA1FC9">
            <w:pPr>
              <w:adjustRightInd w:val="0"/>
              <w:snapToGrid w:val="0"/>
              <w:spacing w:afterLines="20"/>
              <w:rPr>
                <w:rFonts w:asciiTheme="minorEastAsia" w:eastAsiaTheme="minorEastAsia" w:hAnsiTheme="minorEastAsia" w:cs="楷体_GB2312"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cs="楷体_GB2312" w:hint="eastAsia"/>
                <w:b/>
                <w:color w:val="000000"/>
                <w:sz w:val="24"/>
              </w:rPr>
              <w:t>1）公司贷款方面：</w:t>
            </w:r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受外部经济环境影响，部分民营企业因抗风险能力较弱，受行业不景气的冲击较大，造成部分借款人经营困难，难以偿还到期贷款。截至报告期末，公司贷款不良率0.85%，低于全行平均水平，较年初上升7个基点。</w:t>
            </w:r>
          </w:p>
          <w:p w:rsidR="00FA1FC9" w:rsidRPr="001434EB" w:rsidRDefault="00FA1FC9" w:rsidP="00FA1FC9">
            <w:pPr>
              <w:adjustRightInd w:val="0"/>
              <w:snapToGrid w:val="0"/>
              <w:spacing w:afterLines="20"/>
              <w:rPr>
                <w:rFonts w:asciiTheme="minorEastAsia" w:eastAsiaTheme="minorEastAsia" w:hAnsiTheme="minorEastAsia"/>
                <w:sz w:val="24"/>
              </w:rPr>
            </w:pPr>
            <w:r w:rsidRPr="001434EB">
              <w:rPr>
                <w:rFonts w:asciiTheme="minorEastAsia" w:eastAsiaTheme="minorEastAsia" w:hAnsiTheme="minorEastAsia" w:cs="楷体_GB2312" w:hint="eastAsia"/>
                <w:b/>
                <w:color w:val="000000"/>
                <w:sz w:val="24"/>
              </w:rPr>
              <w:t>2）零售贷款方面：</w:t>
            </w:r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新增不良主要是信用卡、经营性贷款和</w:t>
            </w:r>
            <w:proofErr w:type="gramStart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汽融</w:t>
            </w:r>
            <w:proofErr w:type="gramEnd"/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等业务品种，上述业务本身属高风险、高收益产品，目前风险和损失均在产品设计预期范围内。截至报告期末，零售贷款（不含信用卡）不良率1.33%；信用卡受</w:t>
            </w:r>
            <w:r w:rsidRPr="001434EB">
              <w:rPr>
                <w:rFonts w:asciiTheme="minorEastAsia" w:eastAsiaTheme="minorEastAsia" w:hAnsiTheme="minorEastAsia" w:cs="楷体_GB2312"/>
                <w:color w:val="000000"/>
                <w:sz w:val="24"/>
              </w:rPr>
              <w:t>外部经济环境</w:t>
            </w:r>
            <w:r w:rsidRPr="001434EB">
              <w:rPr>
                <w:rFonts w:asciiTheme="minorEastAsia" w:eastAsiaTheme="minorEastAsia" w:hAnsiTheme="minorEastAsia" w:cs="楷体_GB2312" w:hint="eastAsia"/>
                <w:color w:val="000000"/>
                <w:sz w:val="24"/>
              </w:rPr>
              <w:t>影响和我行主动策略性调整，不良率上升至2.90%，但在改善组合结构和提高组合收益的情况下，预期的组合风险有所上升，整体风险可控。</w:t>
            </w:r>
          </w:p>
          <w:p w:rsidR="00217D1A" w:rsidRPr="001434EB" w:rsidRDefault="00217D1A" w:rsidP="00FA1FC9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jc w:val="left"/>
              <w:rPr>
                <w:rFonts w:asciiTheme="minorEastAsia" w:eastAsiaTheme="minorEastAsia" w:hAnsiTheme="minorEastAsia" w:cs="宋体" w:hint="eastAsia"/>
                <w:sz w:val="24"/>
              </w:rPr>
            </w:pPr>
          </w:p>
          <w:p w:rsidR="00EE1C10" w:rsidRPr="001434EB" w:rsidRDefault="00A140B8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</w:t>
            </w: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情况。</w:t>
            </w:r>
          </w:p>
        </w:tc>
      </w:tr>
      <w:tr w:rsidR="00EE1C10" w:rsidRPr="001434EB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434EB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434EB" w:rsidRDefault="00FA1FC9" w:rsidP="00FA1FC9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2015</w:t>
            </w:r>
            <w:r w:rsidR="00217D1A"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一</w:t>
            </w:r>
            <w:r w:rsidR="00B708D6"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季度</w:t>
            </w:r>
            <w:r w:rsidR="00217D1A"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D87038"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PPT（请参见bank.pingan.com投资者关系-公司推介栏目）</w:t>
            </w:r>
          </w:p>
        </w:tc>
      </w:tr>
      <w:tr w:rsidR="00EE1C10" w:rsidRPr="001434EB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1434EB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1434EB" w:rsidRDefault="00761259" w:rsidP="00FA1FC9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862CF2"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5</w:t>
            </w: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FA1FC9"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5</w:t>
            </w:r>
            <w:r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FA1FC9" w:rsidRPr="001434EB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11</w:t>
            </w:r>
          </w:p>
        </w:tc>
      </w:tr>
    </w:tbl>
    <w:p w:rsidR="00941F1C" w:rsidRPr="001434EB" w:rsidRDefault="00941F1C" w:rsidP="00862CF2">
      <w:pPr>
        <w:rPr>
          <w:rFonts w:asciiTheme="minorEastAsia" w:eastAsiaTheme="minorEastAsia" w:hAnsiTheme="minorEastAsia"/>
        </w:rPr>
      </w:pPr>
    </w:p>
    <w:sectPr w:rsidR="00941F1C" w:rsidRPr="001434EB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71" w:rsidRDefault="00042E71" w:rsidP="00D96584">
      <w:r>
        <w:separator/>
      </w:r>
    </w:p>
  </w:endnote>
  <w:endnote w:type="continuationSeparator" w:id="0">
    <w:p w:rsidR="00042E71" w:rsidRDefault="00042E71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..ì.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71" w:rsidRDefault="00042E71" w:rsidP="00D96584">
      <w:r>
        <w:separator/>
      </w:r>
    </w:p>
  </w:footnote>
  <w:footnote w:type="continuationSeparator" w:id="0">
    <w:p w:rsidR="00042E71" w:rsidRDefault="00042E71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7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>
    <w:nsid w:val="666C0CB7"/>
    <w:multiLevelType w:val="hybridMultilevel"/>
    <w:tmpl w:val="86B2FF9C"/>
    <w:lvl w:ilvl="0" w:tplc="BF780C46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18"/>
  </w:num>
  <w:num w:numId="13">
    <w:abstractNumId w:val="7"/>
  </w:num>
  <w:num w:numId="14">
    <w:abstractNumId w:val="21"/>
  </w:num>
  <w:num w:numId="15">
    <w:abstractNumId w:val="13"/>
  </w:num>
  <w:num w:numId="16">
    <w:abstractNumId w:val="14"/>
  </w:num>
  <w:num w:numId="17">
    <w:abstractNumId w:val="12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9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42E71"/>
    <w:rsid w:val="0005090F"/>
    <w:rsid w:val="00083D6A"/>
    <w:rsid w:val="000B3693"/>
    <w:rsid w:val="000B41B6"/>
    <w:rsid w:val="00101C48"/>
    <w:rsid w:val="00130F3C"/>
    <w:rsid w:val="001434EB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3317E5"/>
    <w:rsid w:val="00375010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A1753"/>
    <w:rsid w:val="006F64B3"/>
    <w:rsid w:val="00761259"/>
    <w:rsid w:val="007C213F"/>
    <w:rsid w:val="00845B88"/>
    <w:rsid w:val="00862CF2"/>
    <w:rsid w:val="008710F9"/>
    <w:rsid w:val="00880699"/>
    <w:rsid w:val="0089673B"/>
    <w:rsid w:val="008A4E3E"/>
    <w:rsid w:val="008C111F"/>
    <w:rsid w:val="008F16A2"/>
    <w:rsid w:val="00921892"/>
    <w:rsid w:val="00930952"/>
    <w:rsid w:val="00941F1C"/>
    <w:rsid w:val="00951547"/>
    <w:rsid w:val="009F13CD"/>
    <w:rsid w:val="00A06B39"/>
    <w:rsid w:val="00A140B8"/>
    <w:rsid w:val="00AB47CE"/>
    <w:rsid w:val="00AB67BB"/>
    <w:rsid w:val="00B31C4E"/>
    <w:rsid w:val="00B708D6"/>
    <w:rsid w:val="00B71E2E"/>
    <w:rsid w:val="00B84A84"/>
    <w:rsid w:val="00BB741D"/>
    <w:rsid w:val="00BE11BC"/>
    <w:rsid w:val="00BE3743"/>
    <w:rsid w:val="00C12E89"/>
    <w:rsid w:val="00C35BCB"/>
    <w:rsid w:val="00C51768"/>
    <w:rsid w:val="00C81677"/>
    <w:rsid w:val="00CA1629"/>
    <w:rsid w:val="00CB4AC9"/>
    <w:rsid w:val="00D50045"/>
    <w:rsid w:val="00D87038"/>
    <w:rsid w:val="00D91B1B"/>
    <w:rsid w:val="00D96584"/>
    <w:rsid w:val="00E1525A"/>
    <w:rsid w:val="00E733AB"/>
    <w:rsid w:val="00EE1C10"/>
    <w:rsid w:val="00EE4F68"/>
    <w:rsid w:val="00EE7C01"/>
    <w:rsid w:val="00F16F75"/>
    <w:rsid w:val="00F628CA"/>
    <w:rsid w:val="00F66AD9"/>
    <w:rsid w:val="00FA1FC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232</Words>
  <Characters>1328</Characters>
  <Application>Microsoft Office Word</Application>
  <DocSecurity>0</DocSecurity>
  <Lines>11</Lines>
  <Paragraphs>3</Paragraphs>
  <ScaleCrop>false</ScaleCrop>
  <Company>sdb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4</cp:revision>
  <dcterms:created xsi:type="dcterms:W3CDTF">2015-07-06T11:34:00Z</dcterms:created>
  <dcterms:modified xsi:type="dcterms:W3CDTF">2015-07-06T11:39:00Z</dcterms:modified>
</cp:coreProperties>
</file>