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D61" w:rsidRDefault="009F0F9D" w:rsidP="009210E2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证券代码：300139                                 </w:t>
      </w:r>
      <w:r w:rsidR="009210E2">
        <w:rPr>
          <w:rFonts w:ascii="宋体" w:hAnsi="宋体" w:hint="eastAsia"/>
          <w:bCs/>
          <w:iCs/>
          <w:color w:val="000000"/>
          <w:sz w:val="24"/>
        </w:rPr>
        <w:t>证券简称：</w:t>
      </w:r>
      <w:r>
        <w:rPr>
          <w:rFonts w:ascii="宋体" w:hAnsi="宋体" w:hint="eastAsia"/>
          <w:bCs/>
          <w:iCs/>
          <w:color w:val="000000"/>
          <w:sz w:val="24"/>
        </w:rPr>
        <w:t>晓程</w:t>
      </w:r>
      <w:r w:rsidR="009210E2">
        <w:rPr>
          <w:rFonts w:ascii="宋体" w:hAnsi="宋体" w:hint="eastAsia"/>
          <w:bCs/>
          <w:iCs/>
          <w:color w:val="000000"/>
          <w:sz w:val="24"/>
        </w:rPr>
        <w:t>科技</w:t>
      </w:r>
    </w:p>
    <w:p w:rsidR="00D35D61" w:rsidRDefault="009F0F9D" w:rsidP="009210E2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北京晓程</w:t>
      </w:r>
      <w:r w:rsidR="00786798">
        <w:rPr>
          <w:rFonts w:ascii="宋体" w:hAnsi="宋体" w:hint="eastAsia"/>
          <w:b/>
          <w:bCs/>
          <w:iCs/>
          <w:color w:val="000000"/>
          <w:sz w:val="32"/>
          <w:szCs w:val="32"/>
        </w:rPr>
        <w:t>科技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D35D61" w:rsidRDefault="009F0F9D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</w:t>
      </w:r>
      <w:r w:rsidR="001A1765">
        <w:rPr>
          <w:rFonts w:ascii="宋体" w:hAnsi="宋体" w:hint="eastAsia"/>
          <w:bCs/>
          <w:iCs/>
          <w:color w:val="000000"/>
          <w:sz w:val="24"/>
        </w:rPr>
        <w:t xml:space="preserve">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 w:rsidR="001A1765">
        <w:rPr>
          <w:rFonts w:ascii="宋体" w:hAnsi="宋体" w:hint="eastAsia"/>
          <w:bCs/>
          <w:iCs/>
          <w:color w:val="000000"/>
          <w:sz w:val="24"/>
        </w:rPr>
        <w:t>2015-010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投资者关系活动类别</w:t>
            </w:r>
          </w:p>
          <w:p w:rsidR="00D35D61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■</w:t>
            </w:r>
            <w:r>
              <w:rPr>
                <w:rFonts w:ascii="宋体" w:hAnsi="宋体" w:cs="Calibri" w:hint="eastAsia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>分析师会议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>业绩说明会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>路演活动</w:t>
            </w:r>
          </w:p>
          <w:p w:rsidR="00D35D61" w:rsidRDefault="009F0F9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>现场参观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ab/>
            </w:r>
          </w:p>
          <w:p w:rsidR="00D35D61" w:rsidRDefault="009F0F9D">
            <w:pPr>
              <w:tabs>
                <w:tab w:val="center" w:pos="3199"/>
              </w:tabs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□</w:t>
            </w:r>
            <w:r>
              <w:rPr>
                <w:rFonts w:ascii="宋体" w:hAnsi="宋体" w:cs="Calibri" w:hint="eastAsia"/>
                <w:sz w:val="28"/>
                <w:szCs w:val="28"/>
              </w:rPr>
              <w:t xml:space="preserve">其他 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前海开源基金              陈志</w:t>
            </w:r>
            <w:r w:rsidR="00250ABA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峰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中投证券                  管伟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中外建资产管理有限公司    夏源泽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上海毓璜投资管理有限公司  龚云华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东海证券自营分公司        谢凯</w:t>
            </w:r>
          </w:p>
          <w:p w:rsidR="00D35D61" w:rsidRDefault="00760C4E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鼎萨投资                  薛磊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2015年11月19日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公司506会议室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董事会秘书：王含静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记录人：王琼</w:t>
            </w:r>
            <w:r w:rsidR="00B53328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 xml:space="preserve">   谭超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投资者关系活动主要内容介绍</w:t>
            </w:r>
          </w:p>
          <w:p w:rsidR="00D35D61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Default="006E791E" w:rsidP="006E791E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问：加纳降损项目的商业模式？</w:t>
            </w:r>
          </w:p>
          <w:p w:rsidR="006E791E" w:rsidRDefault="006E791E" w:rsidP="006E791E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</w:t>
            </w:r>
            <w:r w:rsidR="00750C86" w:rsidRPr="00AF1527">
              <w:rPr>
                <w:rFonts w:ascii="宋体" w:hAnsi="宋体" w:hint="eastAsia"/>
                <w:bCs/>
                <w:iCs/>
                <w:sz w:val="24"/>
              </w:rPr>
              <w:t>加纳是一个缺电的国家。加纳电力公司向发电公司买电销售给居民，以</w:t>
            </w:r>
            <w:r w:rsidR="00750C86" w:rsidRPr="00AF1527">
              <w:rPr>
                <w:rFonts w:hint="eastAsia"/>
                <w:sz w:val="24"/>
              </w:rPr>
              <w:t>加纳阿克拉地区用电情况来看基本上是“一表多户”并且基本实行阶梯电价及后付费方式，导致偷电漏电情况严重，收费困难。</w:t>
            </w:r>
            <w:r w:rsidR="00750C86" w:rsidRPr="00AF1527">
              <w:rPr>
                <w:rFonts w:ascii="Verdana"/>
                <w:sz w:val="24"/>
              </w:rPr>
              <w:t>在这一背景下，很多用户共用同一个电表，这就导致电价成倍上升</w:t>
            </w:r>
            <w:r w:rsidR="00750C86" w:rsidRPr="00AF1527">
              <w:rPr>
                <w:rFonts w:ascii="Verdana" w:hint="eastAsia"/>
                <w:sz w:val="24"/>
              </w:rPr>
              <w:t>，形成</w:t>
            </w:r>
            <w:r w:rsidR="00750C86" w:rsidRPr="00AF1527">
              <w:rPr>
                <w:rFonts w:ascii="Verdana"/>
                <w:sz w:val="24"/>
              </w:rPr>
              <w:t>大量被迫偷电的行为</w:t>
            </w:r>
            <w:r w:rsidR="00750C86" w:rsidRPr="00AF1527">
              <w:rPr>
                <w:rFonts w:ascii="Verdana" w:hint="eastAsia"/>
                <w:sz w:val="24"/>
              </w:rPr>
              <w:t>，线损率极高</w:t>
            </w:r>
            <w:r w:rsidR="00750C86">
              <w:rPr>
                <w:rFonts w:ascii="Verdana" w:hint="eastAsia"/>
                <w:sz w:val="24"/>
              </w:rPr>
              <w:t>，</w:t>
            </w:r>
            <w:r w:rsidR="00750C86" w:rsidRPr="00AF1527">
              <w:rPr>
                <w:rFonts w:ascii="Verdana" w:hint="eastAsia"/>
                <w:sz w:val="24"/>
              </w:rPr>
              <w:t>造成加纳电力公司在购销电方面无法实现良性循环</w:t>
            </w:r>
            <w:r w:rsidR="00750C86">
              <w:rPr>
                <w:rFonts w:ascii="Verdana" w:hint="eastAsia"/>
                <w:sz w:val="24"/>
              </w:rPr>
              <w:t>；</w:t>
            </w:r>
            <w:r w:rsidR="00750C86" w:rsidRPr="00AF1527">
              <w:rPr>
                <w:rFonts w:ascii="Verdana" w:hint="eastAsia"/>
                <w:sz w:val="24"/>
              </w:rPr>
              <w:t>另一方面，加纳目前的电力设备基本上存在老、旧、坏等现象，急</w:t>
            </w:r>
            <w:r w:rsidR="00750C86" w:rsidRPr="00AF1527">
              <w:rPr>
                <w:rFonts w:ascii="Verdana" w:hint="eastAsia"/>
                <w:sz w:val="24"/>
              </w:rPr>
              <w:lastRenderedPageBreak/>
              <w:t>需更换</w:t>
            </w:r>
            <w:r w:rsidR="00750C86">
              <w:rPr>
                <w:rFonts w:ascii="Verdana" w:hint="eastAsia"/>
                <w:sz w:val="24"/>
              </w:rPr>
              <w:t>，</w:t>
            </w:r>
            <w:r w:rsidR="00750C86" w:rsidRPr="00AF1527">
              <w:rPr>
                <w:rFonts w:hint="eastAsia"/>
                <w:sz w:val="24"/>
              </w:rPr>
              <w:t>于是加纳国家电力公司委托公司对</w:t>
            </w:r>
            <w:r w:rsidR="00750C86">
              <w:rPr>
                <w:rFonts w:hint="eastAsia"/>
                <w:sz w:val="24"/>
              </w:rPr>
              <w:t>其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所管辖的阿克拉地区的商业、居民及工业用户的电表进行换装登记和智能化改造，并在此基础上优化供电线路，降低用电损失。对取得的降低电网线路损耗的收益按公司80%,加纳ECG20%进行分成。</w:t>
            </w:r>
          </w:p>
          <w:p w:rsidR="006E791E" w:rsidRDefault="006E791E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问：请分别介绍一下海外项目的进展情况？</w:t>
            </w:r>
          </w:p>
          <w:p w:rsidR="00D35D61" w:rsidRDefault="009F0F9D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</w:t>
            </w:r>
            <w:r w:rsidR="00AC0D5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(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1</w:t>
            </w:r>
            <w:r w:rsidR="00AC0D5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)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加纳BOT项目现已基本完成，以维护设备为</w:t>
            </w:r>
            <w:r w:rsidR="0090023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主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，且收益稳定。</w:t>
            </w:r>
            <w:r w:rsidR="00AC0D5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(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2</w:t>
            </w:r>
            <w:r w:rsidR="00AC0D5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)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加纳降损项目正在抓紧施工，截止到三季度末累计完成20万户左右。</w:t>
            </w:r>
            <w:r w:rsidR="00AC0D5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(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3</w:t>
            </w:r>
            <w:r w:rsidR="00AC0D5C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加纳中部及西部省</w:t>
            </w:r>
            <w:r>
              <w:rPr>
                <w:rFonts w:ascii="宋体" w:hAnsi="宋体" w:cs="宋体" w:hint="eastAsia"/>
                <w:bCs/>
                <w:kern w:val="0"/>
                <w:sz w:val="24"/>
                <w:lang w:val="zh-CN"/>
              </w:rPr>
              <w:t>配网线路扩建项目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和加纳阿善堤西，阿善堤东，东部及沃尔特区配网线路扩建项目，均已进入正常使用</w:t>
            </w:r>
            <w:r w:rsidR="00EF725B">
              <w:rPr>
                <w:rFonts w:ascii="宋体" w:hAnsi="宋体" w:cs="宋体" w:hint="eastAsia"/>
                <w:kern w:val="0"/>
                <w:sz w:val="24"/>
                <w:lang w:val="zh-CN"/>
              </w:rPr>
              <w:t>和回款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状态。</w:t>
            </w:r>
            <w:r w:rsidR="00992710">
              <w:rPr>
                <w:rFonts w:ascii="宋体" w:hAnsi="宋体" w:cs="宋体" w:hint="eastAsia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92710"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20MW</w:t>
            </w:r>
            <w:r w:rsidR="002E3706">
              <w:rPr>
                <w:rFonts w:ascii="宋体" w:hAnsi="宋体" w:cs="宋体" w:hint="eastAsia"/>
                <w:kern w:val="0"/>
                <w:sz w:val="24"/>
              </w:rPr>
              <w:t>光伏电站项目现在处于</w:t>
            </w:r>
            <w:r w:rsidR="00CD3234">
              <w:rPr>
                <w:rFonts w:ascii="宋体" w:hAnsi="宋体" w:cs="宋体" w:hint="eastAsia"/>
                <w:kern w:val="0"/>
                <w:sz w:val="24"/>
              </w:rPr>
              <w:t>试运行</w:t>
            </w:r>
            <w:r w:rsidR="00B240E4">
              <w:rPr>
                <w:rFonts w:ascii="宋体" w:hAnsi="宋体" w:cs="宋体" w:hint="eastAsia"/>
                <w:kern w:val="0"/>
                <w:sz w:val="24"/>
              </w:rPr>
              <w:t>阶段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FE3F19"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E3F19"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南非PPP项目目前正在进行试验网工作，待产品和技术通过认证流程后开始正式施工，试点工作预计年底结束。</w:t>
            </w:r>
          </w:p>
          <w:p w:rsidR="00FF3C06" w:rsidRDefault="00FF3C06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FF3C06" w:rsidRPr="00FF3C06" w:rsidRDefault="00FF3C06">
            <w:pPr>
              <w:spacing w:line="480" w:lineRule="atLeast"/>
              <w:rPr>
                <w:rFonts w:ascii="宋体" w:hAnsi="宋体" w:cs="Calibri"/>
                <w:b/>
                <w:bCs/>
                <w:iCs/>
                <w:color w:val="000000"/>
                <w:sz w:val="24"/>
                <w:szCs w:val="22"/>
              </w:rPr>
            </w:pPr>
            <w:r w:rsidRPr="00FF3C06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问：海外项目是否有经济</w:t>
            </w:r>
            <w:r w:rsidR="005316AE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、</w:t>
            </w:r>
            <w:r w:rsidRPr="00FF3C06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政治风险？</w:t>
            </w:r>
          </w:p>
          <w:p w:rsidR="006F6CAD" w:rsidRPr="00A82515" w:rsidRDefault="00BB3C04" w:rsidP="006F6CAD">
            <w:pPr>
              <w:spacing w:line="480" w:lineRule="atLeast"/>
              <w:rPr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F6CAD" w:rsidRPr="00A82515">
              <w:rPr>
                <w:rFonts w:hint="eastAsia"/>
                <w:sz w:val="24"/>
              </w:rPr>
              <w:t>西非加纳和南非均为民主法治国家，</w:t>
            </w:r>
            <w:r w:rsidR="006F6CAD">
              <w:rPr>
                <w:rFonts w:hint="eastAsia"/>
                <w:sz w:val="24"/>
              </w:rPr>
              <w:t>政治稳定，法律健全。其中加纳是西非最安全的国家，</w:t>
            </w:r>
            <w:r w:rsidR="007D5AB9">
              <w:rPr>
                <w:rFonts w:hint="eastAsia"/>
                <w:sz w:val="24"/>
              </w:rPr>
              <w:t>经济</w:t>
            </w:r>
            <w:r w:rsidR="006F6CAD">
              <w:rPr>
                <w:rFonts w:hint="eastAsia"/>
                <w:sz w:val="24"/>
              </w:rPr>
              <w:t>发展很快；南非被誉为撒哈拉沙漠以南最发达的国家，因此政治、经济方面不存在较大风险。</w:t>
            </w:r>
          </w:p>
          <w:p w:rsidR="00B91E85" w:rsidRPr="00566D32" w:rsidRDefault="00B91E85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问：配网线路扩建项目的回款模式？</w:t>
            </w:r>
          </w:p>
          <w:p w:rsidR="00B54FC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答：加纳中部及西部省配网线路扩建项目和</w:t>
            </w:r>
            <w:r w:rsidR="005E70BA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阿善堤西，阿善堤东，东部及沃尔特区配网线路扩建项目的合同金额均为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2000万美元，BXC公司负责项目所需的电力设施和物料的采购及施工建设。其中物资采购款占合同总金额的86%，项目施工款占合同总金额的14%，项目实施一年后，加纳ECG分48个月向BXC公司支付物资采购款，项目施工款项按照每月完成的进度支付。</w:t>
            </w:r>
          </w:p>
          <w:p w:rsidR="00B54FC1" w:rsidRPr="00B54FC1" w:rsidRDefault="00B54FC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问：公司自主研发的电力线载波芯片未来可能运用在哪些领域？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答：未来，公司可能会根据市场的发展状况，以产品和技术</w:t>
            </w:r>
            <w:r w:rsidR="005F3592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储备</w:t>
            </w:r>
            <w:r w:rsidR="00EF4D1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为依托，逐步试水路灯监控系统、智能家居、大气污染检测等领域。</w:t>
            </w:r>
          </w:p>
          <w:p w:rsidR="00D35D61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问：针对海外投资项目的资金缺口，公司有何应对措施？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</w:t>
            </w:r>
            <w:r w:rsidR="00D52D9B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目前公司正筹划非公开发行公司债，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届时</w:t>
            </w:r>
            <w:r w:rsidR="00D52D9B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也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会根据实际情况选择股权融资、股权激励计划等方式融资，</w:t>
            </w:r>
            <w:r w:rsidR="00753FA5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同时</w:t>
            </w: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也不排除在南非、香港和美国等地采取项目融资的方式。</w:t>
            </w:r>
          </w:p>
          <w:p w:rsidR="00D35D61" w:rsidRPr="00753FA5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50F6C" w:rsidRDefault="00D50F6C" w:rsidP="00D50F6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问：公司对于进军智能家居领域的计划？</w:t>
            </w:r>
          </w:p>
          <w:p w:rsidR="00D50F6C" w:rsidRDefault="00D50F6C" w:rsidP="00D50F6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答：公司致力于电力线载波系列集成电路芯片的设计与研发，在智能家居领域已有比较充足的技术储备，待该领域盈利模式比较明朗之后，我们也能迅速切入市场。</w:t>
            </w:r>
          </w:p>
          <w:p w:rsidR="00B65ED6" w:rsidRDefault="00B65ED6" w:rsidP="00D50F6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B65ED6" w:rsidRDefault="00B65ED6" w:rsidP="00B65ED6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bookmarkStart w:id="0" w:name="OLE_LINK10"/>
            <w:bookmarkStart w:id="1" w:name="OLE_LINK11"/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问：公司今年在研发方面的投入比例？</w:t>
            </w:r>
          </w:p>
          <w:p w:rsidR="00B65ED6" w:rsidRDefault="00B65ED6" w:rsidP="00B65ED6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答：预计公司今年在研发方面的投入比例占营业收入的</w:t>
            </w:r>
            <w:r w:rsidR="006C2114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10%左右。</w:t>
            </w:r>
          </w:p>
          <w:bookmarkEnd w:id="0"/>
          <w:bookmarkEnd w:id="1"/>
          <w:p w:rsidR="00D35D61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CA1F46" w:rsidRPr="00046CA1" w:rsidRDefault="00E1155B">
            <w:pPr>
              <w:spacing w:line="480" w:lineRule="atLeast"/>
              <w:rPr>
                <w:rFonts w:ascii="宋体" w:hAnsi="宋体" w:cs="Calibri"/>
                <w:b/>
                <w:bCs/>
                <w:iCs/>
                <w:color w:val="000000"/>
                <w:sz w:val="24"/>
                <w:szCs w:val="22"/>
              </w:rPr>
            </w:pPr>
            <w:r w:rsidRPr="00046CA1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问：公司在海外</w:t>
            </w:r>
            <w:r w:rsidR="00604D65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业务</w:t>
            </w:r>
            <w:r w:rsidRPr="00046CA1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与公司的传统</w:t>
            </w:r>
            <w:r w:rsidR="00BF4DBA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电力</w:t>
            </w:r>
            <w:r w:rsidRPr="00046CA1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行业的</w:t>
            </w:r>
            <w:r w:rsidR="00604D65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业务</w:t>
            </w:r>
            <w:r w:rsidRPr="00046CA1">
              <w:rPr>
                <w:rFonts w:ascii="宋体" w:hAnsi="宋体" w:cs="Calibri" w:hint="eastAsia"/>
                <w:b/>
                <w:bCs/>
                <w:iCs/>
                <w:color w:val="000000"/>
                <w:sz w:val="24"/>
                <w:szCs w:val="22"/>
              </w:rPr>
              <w:t>关联度体现在什么地方？</w:t>
            </w:r>
          </w:p>
          <w:p w:rsidR="00CA1F46" w:rsidRDefault="00E1155B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</w:t>
            </w:r>
            <w:r w:rsidR="00A42BEE" w:rsidRPr="00A42BE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在国内我们专注于集成电路的研发与技术的创新，在海外市场，</w:t>
            </w:r>
            <w:r w:rsidR="007407EB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我们</w:t>
            </w:r>
            <w:r w:rsidR="00A42BEE" w:rsidRPr="00A42BE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主要将业务链向终端客户延伸，着力为终端客户提供电网改造、降损等一揽子解决方案</w:t>
            </w:r>
            <w:r w:rsidR="00AA1F83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。</w:t>
            </w:r>
            <w:r w:rsidR="00EE589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加纳</w:t>
            </w:r>
            <w:r w:rsidR="00CE00D3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由于经济发展迅速，</w:t>
            </w:r>
            <w:r w:rsidR="009A6D74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目前</w:t>
            </w:r>
            <w:r w:rsidR="00B6476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非常</w:t>
            </w:r>
            <w:r w:rsidR="00EE589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缺电，</w:t>
            </w:r>
            <w:r w:rsidR="00CE00D3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经常</w:t>
            </w:r>
            <w:r w:rsidR="00135C91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容易出现拉闸限电的情况。这一</w:t>
            </w:r>
            <w:r w:rsidR="00DA3ED3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情况</w:t>
            </w:r>
            <w:r w:rsidR="00EE589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已</w:t>
            </w:r>
            <w:r w:rsidR="00135C91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经</w:t>
            </w:r>
            <w:r w:rsidR="00EE589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影响</w:t>
            </w:r>
            <w:r w:rsidR="00135C91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到公司海外相关</w:t>
            </w:r>
            <w:r w:rsidR="00654835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项目的收益。</w:t>
            </w:r>
            <w:r w:rsidR="009474C4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同时加纳</w:t>
            </w:r>
            <w:r w:rsidR="009474C4">
              <w:rPr>
                <w:rFonts w:hint="eastAsia"/>
                <w:sz w:val="24"/>
              </w:rPr>
              <w:t>政府计划</w:t>
            </w:r>
            <w:r w:rsidR="009474C4" w:rsidRPr="0054677B">
              <w:rPr>
                <w:rFonts w:hint="eastAsia"/>
                <w:sz w:val="24"/>
              </w:rPr>
              <w:t>打造</w:t>
            </w:r>
            <w:r w:rsidR="009474C4">
              <w:rPr>
                <w:rFonts w:hint="eastAsia"/>
                <w:sz w:val="24"/>
              </w:rPr>
              <w:t>“</w:t>
            </w:r>
            <w:r w:rsidR="009474C4" w:rsidRPr="0054677B">
              <w:rPr>
                <w:rFonts w:hint="eastAsia"/>
                <w:sz w:val="24"/>
              </w:rPr>
              <w:t>西非电力走廊</w:t>
            </w:r>
            <w:r w:rsidR="009474C4">
              <w:rPr>
                <w:rFonts w:hint="eastAsia"/>
                <w:sz w:val="24"/>
              </w:rPr>
              <w:t>”，给公司提供了涉足关于发电领域的机会，而且</w:t>
            </w:r>
            <w:r w:rsidR="009474C4">
              <w:rPr>
                <w:rFonts w:hint="eastAsia"/>
                <w:sz w:val="24"/>
              </w:rPr>
              <w:lastRenderedPageBreak/>
              <w:t>发电站项目</w:t>
            </w:r>
            <w:r w:rsidR="009474C4" w:rsidRPr="0054677B">
              <w:rPr>
                <w:rFonts w:hint="eastAsia"/>
                <w:sz w:val="24"/>
              </w:rPr>
              <w:t>收益</w:t>
            </w:r>
            <w:r w:rsidR="009474C4">
              <w:rPr>
                <w:rFonts w:hint="eastAsia"/>
                <w:sz w:val="24"/>
              </w:rPr>
              <w:t>较好；</w:t>
            </w:r>
            <w:r w:rsidR="009474C4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基于双重利益考虑</w:t>
            </w:r>
            <w:r w:rsidR="00654835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，我们将业务变延伸至发电领域，</w:t>
            </w:r>
            <w:r w:rsidR="00EB742A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从用电端到配电端再到发电端形成</w:t>
            </w:r>
            <w:r w:rsidR="00AA1F83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一条完整的产业链，</w:t>
            </w:r>
            <w:r w:rsidR="00AA1F83" w:rsidRPr="00A42BEE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以开拓更丰厚的盈利增长点</w:t>
            </w:r>
            <w:r w:rsidR="00AA1F83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。</w:t>
            </w:r>
          </w:p>
          <w:p w:rsidR="00720A76" w:rsidRPr="00E1155B" w:rsidRDefault="00720A76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392A15" w:rsidRDefault="009F0F9D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问：金矿公司</w:t>
            </w:r>
            <w:r w:rsidR="00270FBB"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目前</w:t>
            </w: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的运营状况</w:t>
            </w:r>
            <w:r w:rsidR="00392A15"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？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答：金矿公司目前正在进行矿区重建和设备更新等工作</w:t>
            </w:r>
            <w:r w:rsidR="00392A15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。</w:t>
            </w:r>
          </w:p>
          <w:p w:rsidR="00D35D61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问：国家电网改革有哪些影响？</w:t>
            </w:r>
          </w:p>
          <w:p w:rsidR="00D35D61" w:rsidRDefault="00ED419E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</w:t>
            </w:r>
            <w:r w:rsidR="009F0F9D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未来国网对电能表的需求量不会有大幅增加，国内电表业务</w:t>
            </w:r>
            <w:r w:rsidR="008E6661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的竞争会更加剧烈，很多电能表制造商可能因此而面临较大的经营压力。</w:t>
            </w:r>
          </w:p>
          <w:p w:rsidR="00D35D61" w:rsidRPr="00ED419E" w:rsidRDefault="00D35D61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/>
                <w:iCs/>
                <w:color w:val="000000"/>
                <w:sz w:val="24"/>
                <w:szCs w:val="22"/>
              </w:rPr>
              <w:t>问：非洲项目的竞争情况？</w:t>
            </w:r>
          </w:p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答：由于加纳BOT和降损等项目的成功实施，公司的产品和技术已经得到加纳ECG的认可，</w:t>
            </w:r>
            <w:r w:rsidR="0036686A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同时公司在加纳市场深耕多年，</w:t>
            </w:r>
            <w:r w:rsidR="004C112A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积累了丰富</w:t>
            </w:r>
            <w:r w:rsidR="0036686A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的人脉和资源</w:t>
            </w:r>
            <w:r w:rsidR="008F7998"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；南非市场由于E市周边存在类似问题的城市非常多，市场很大，届时公司将会根据E市PPP项目经验拿到更多城市的订单。</w:t>
            </w:r>
          </w:p>
          <w:p w:rsidR="008F7998" w:rsidRPr="008F7998" w:rsidRDefault="008F7998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</w:p>
          <w:p w:rsidR="00D35D61" w:rsidRDefault="009F0F9D" w:rsidP="00090C0F">
            <w:pPr>
              <w:spacing w:line="480" w:lineRule="atLeast"/>
              <w:ind w:firstLineChars="200" w:firstLine="480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接待过程中，公司接待人员与投资者进行了充分的交流与沟通，严格按照《信息披露管理制度》等规定，保证信息披露的真实、准确、完整、及时、公平，未出现未公开重大信息泄露等情况；同时已按深交所要求签署调研《承诺书》。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承诺书</w:t>
            </w:r>
          </w:p>
        </w:tc>
      </w:tr>
      <w:tr w:rsidR="00D35D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1" w:rsidRDefault="009F0F9D">
            <w:pPr>
              <w:spacing w:line="480" w:lineRule="atLeast"/>
              <w:rPr>
                <w:rFonts w:ascii="宋体" w:hAnsi="宋体" w:cs="Calibri"/>
                <w:bCs/>
                <w:iCs/>
                <w:color w:val="000000"/>
                <w:sz w:val="24"/>
                <w:szCs w:val="22"/>
              </w:rPr>
            </w:pPr>
            <w:r>
              <w:rPr>
                <w:rFonts w:ascii="宋体" w:hAnsi="宋体" w:cs="Calibri" w:hint="eastAsia"/>
                <w:bCs/>
                <w:iCs/>
                <w:color w:val="000000"/>
                <w:sz w:val="24"/>
                <w:szCs w:val="22"/>
              </w:rPr>
              <w:t>2015年11月19日</w:t>
            </w:r>
          </w:p>
        </w:tc>
      </w:tr>
    </w:tbl>
    <w:p w:rsidR="00D35D61" w:rsidRDefault="00D35D61">
      <w:pPr>
        <w:spacing w:line="400" w:lineRule="exact"/>
        <w:jc w:val="center"/>
        <w:rPr>
          <w:rFonts w:ascii="宋体" w:hAnsi="宋体"/>
        </w:rPr>
      </w:pPr>
    </w:p>
    <w:p w:rsidR="00D35D61" w:rsidRDefault="00D35D61"/>
    <w:sectPr w:rsidR="00D35D61" w:rsidSect="00D35D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59" w:rsidRDefault="00517E59" w:rsidP="008C7695">
      <w:r>
        <w:separator/>
      </w:r>
    </w:p>
  </w:endnote>
  <w:endnote w:type="continuationSeparator" w:id="1">
    <w:p w:rsidR="00517E59" w:rsidRDefault="00517E59" w:rsidP="008C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59" w:rsidRDefault="00517E59" w:rsidP="008C7695">
      <w:r>
        <w:separator/>
      </w:r>
    </w:p>
  </w:footnote>
  <w:footnote w:type="continuationSeparator" w:id="1">
    <w:p w:rsidR="00517E59" w:rsidRDefault="00517E59" w:rsidP="008C7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72E0"/>
    <w:rsid w:val="000028BF"/>
    <w:rsid w:val="0002006E"/>
    <w:rsid w:val="00026FA9"/>
    <w:rsid w:val="000448B5"/>
    <w:rsid w:val="00046CA1"/>
    <w:rsid w:val="00076218"/>
    <w:rsid w:val="00090726"/>
    <w:rsid w:val="00090C0F"/>
    <w:rsid w:val="000B1519"/>
    <w:rsid w:val="000B52CD"/>
    <w:rsid w:val="00120A58"/>
    <w:rsid w:val="001231A9"/>
    <w:rsid w:val="00135C91"/>
    <w:rsid w:val="0014697C"/>
    <w:rsid w:val="001A1765"/>
    <w:rsid w:val="001A25F9"/>
    <w:rsid w:val="001C064F"/>
    <w:rsid w:val="001F2E22"/>
    <w:rsid w:val="00213366"/>
    <w:rsid w:val="002428BA"/>
    <w:rsid w:val="002436DE"/>
    <w:rsid w:val="00250ABA"/>
    <w:rsid w:val="00257BBF"/>
    <w:rsid w:val="00257CD3"/>
    <w:rsid w:val="00270FBB"/>
    <w:rsid w:val="00272ADF"/>
    <w:rsid w:val="00273361"/>
    <w:rsid w:val="00275582"/>
    <w:rsid w:val="002913BA"/>
    <w:rsid w:val="002B2B39"/>
    <w:rsid w:val="002C46EF"/>
    <w:rsid w:val="002E3706"/>
    <w:rsid w:val="002F0384"/>
    <w:rsid w:val="00315956"/>
    <w:rsid w:val="00316A98"/>
    <w:rsid w:val="00336D97"/>
    <w:rsid w:val="0034603E"/>
    <w:rsid w:val="0036686A"/>
    <w:rsid w:val="00373DCB"/>
    <w:rsid w:val="00392A15"/>
    <w:rsid w:val="003934A2"/>
    <w:rsid w:val="003A556D"/>
    <w:rsid w:val="003D5D06"/>
    <w:rsid w:val="003D5D60"/>
    <w:rsid w:val="004111C7"/>
    <w:rsid w:val="00420779"/>
    <w:rsid w:val="004224EE"/>
    <w:rsid w:val="004558C5"/>
    <w:rsid w:val="00467AAA"/>
    <w:rsid w:val="00487F5D"/>
    <w:rsid w:val="00493A4C"/>
    <w:rsid w:val="004C112A"/>
    <w:rsid w:val="004D435E"/>
    <w:rsid w:val="004F5467"/>
    <w:rsid w:val="00500D0E"/>
    <w:rsid w:val="00517E59"/>
    <w:rsid w:val="005316AE"/>
    <w:rsid w:val="00536F21"/>
    <w:rsid w:val="00566D32"/>
    <w:rsid w:val="005A0979"/>
    <w:rsid w:val="005A4E82"/>
    <w:rsid w:val="005B79EB"/>
    <w:rsid w:val="005D027B"/>
    <w:rsid w:val="005E70BA"/>
    <w:rsid w:val="005F3592"/>
    <w:rsid w:val="005F6346"/>
    <w:rsid w:val="00600400"/>
    <w:rsid w:val="00604D65"/>
    <w:rsid w:val="00607023"/>
    <w:rsid w:val="00612332"/>
    <w:rsid w:val="00612631"/>
    <w:rsid w:val="00635B07"/>
    <w:rsid w:val="0065206D"/>
    <w:rsid w:val="00654835"/>
    <w:rsid w:val="00657A85"/>
    <w:rsid w:val="00661195"/>
    <w:rsid w:val="00682360"/>
    <w:rsid w:val="006A5567"/>
    <w:rsid w:val="006C10B9"/>
    <w:rsid w:val="006C2114"/>
    <w:rsid w:val="006C4B01"/>
    <w:rsid w:val="006E32F4"/>
    <w:rsid w:val="006E791E"/>
    <w:rsid w:val="006F6CAD"/>
    <w:rsid w:val="00713F12"/>
    <w:rsid w:val="00720A76"/>
    <w:rsid w:val="00721EC5"/>
    <w:rsid w:val="007407EB"/>
    <w:rsid w:val="00744796"/>
    <w:rsid w:val="00750C86"/>
    <w:rsid w:val="00753FA5"/>
    <w:rsid w:val="00760C4E"/>
    <w:rsid w:val="007618E8"/>
    <w:rsid w:val="00772945"/>
    <w:rsid w:val="00781D4E"/>
    <w:rsid w:val="00786798"/>
    <w:rsid w:val="007C2FC3"/>
    <w:rsid w:val="007C7417"/>
    <w:rsid w:val="007D5AB9"/>
    <w:rsid w:val="007E0832"/>
    <w:rsid w:val="007F575B"/>
    <w:rsid w:val="007F630B"/>
    <w:rsid w:val="00834BEC"/>
    <w:rsid w:val="008B07E1"/>
    <w:rsid w:val="008C7695"/>
    <w:rsid w:val="008E380D"/>
    <w:rsid w:val="008E5844"/>
    <w:rsid w:val="008E6661"/>
    <w:rsid w:val="008F7998"/>
    <w:rsid w:val="0090023C"/>
    <w:rsid w:val="009210E2"/>
    <w:rsid w:val="00921BFF"/>
    <w:rsid w:val="009474C4"/>
    <w:rsid w:val="00962063"/>
    <w:rsid w:val="009639F7"/>
    <w:rsid w:val="00984E75"/>
    <w:rsid w:val="00992710"/>
    <w:rsid w:val="009A6D74"/>
    <w:rsid w:val="009F0F9D"/>
    <w:rsid w:val="00A0466F"/>
    <w:rsid w:val="00A1274C"/>
    <w:rsid w:val="00A41FB1"/>
    <w:rsid w:val="00A42BEE"/>
    <w:rsid w:val="00A76C81"/>
    <w:rsid w:val="00A80A6D"/>
    <w:rsid w:val="00AA015A"/>
    <w:rsid w:val="00AA1F83"/>
    <w:rsid w:val="00AB7803"/>
    <w:rsid w:val="00AC0D5C"/>
    <w:rsid w:val="00AC41E5"/>
    <w:rsid w:val="00AE04ED"/>
    <w:rsid w:val="00AE5855"/>
    <w:rsid w:val="00B240E4"/>
    <w:rsid w:val="00B31002"/>
    <w:rsid w:val="00B47A59"/>
    <w:rsid w:val="00B53328"/>
    <w:rsid w:val="00B54FC1"/>
    <w:rsid w:val="00B6476E"/>
    <w:rsid w:val="00B65ED6"/>
    <w:rsid w:val="00B91E85"/>
    <w:rsid w:val="00BB3C04"/>
    <w:rsid w:val="00BC365C"/>
    <w:rsid w:val="00BC69EB"/>
    <w:rsid w:val="00BF4DBA"/>
    <w:rsid w:val="00C07484"/>
    <w:rsid w:val="00C34C2C"/>
    <w:rsid w:val="00C770E7"/>
    <w:rsid w:val="00CA1F46"/>
    <w:rsid w:val="00CA455E"/>
    <w:rsid w:val="00CD15F1"/>
    <w:rsid w:val="00CD3234"/>
    <w:rsid w:val="00CE00D3"/>
    <w:rsid w:val="00CE7098"/>
    <w:rsid w:val="00CF7F23"/>
    <w:rsid w:val="00D120D8"/>
    <w:rsid w:val="00D2585B"/>
    <w:rsid w:val="00D35D61"/>
    <w:rsid w:val="00D50F6C"/>
    <w:rsid w:val="00D52D9B"/>
    <w:rsid w:val="00D642FD"/>
    <w:rsid w:val="00D74126"/>
    <w:rsid w:val="00D901B2"/>
    <w:rsid w:val="00D95736"/>
    <w:rsid w:val="00D96E53"/>
    <w:rsid w:val="00DA3ED3"/>
    <w:rsid w:val="00DB5E70"/>
    <w:rsid w:val="00DE1A02"/>
    <w:rsid w:val="00E02D95"/>
    <w:rsid w:val="00E1155B"/>
    <w:rsid w:val="00E237F6"/>
    <w:rsid w:val="00E27057"/>
    <w:rsid w:val="00E30793"/>
    <w:rsid w:val="00EB6B4F"/>
    <w:rsid w:val="00EB742A"/>
    <w:rsid w:val="00EC27E2"/>
    <w:rsid w:val="00EC5981"/>
    <w:rsid w:val="00ED419E"/>
    <w:rsid w:val="00EE589E"/>
    <w:rsid w:val="00EF4D1E"/>
    <w:rsid w:val="00EF725B"/>
    <w:rsid w:val="00F072E0"/>
    <w:rsid w:val="00F3633D"/>
    <w:rsid w:val="00F545B8"/>
    <w:rsid w:val="00F6059A"/>
    <w:rsid w:val="00F6168B"/>
    <w:rsid w:val="00F64E26"/>
    <w:rsid w:val="00FA3E70"/>
    <w:rsid w:val="00FC0403"/>
    <w:rsid w:val="00FE3F19"/>
    <w:rsid w:val="00FF1BCC"/>
    <w:rsid w:val="00FF3C06"/>
    <w:rsid w:val="08C73E15"/>
    <w:rsid w:val="0C932630"/>
    <w:rsid w:val="21D64669"/>
    <w:rsid w:val="38DC1ED6"/>
    <w:rsid w:val="418A3D14"/>
    <w:rsid w:val="43266FB8"/>
    <w:rsid w:val="4A101636"/>
    <w:rsid w:val="7732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5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5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35D6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5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342</Words>
  <Characters>1950</Characters>
  <Application>Microsoft Office Word</Application>
  <DocSecurity>0</DocSecurity>
  <Lines>16</Lines>
  <Paragraphs>4</Paragraphs>
  <ScaleCrop>false</ScaleCrop>
  <Company>Lenovo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证券代码：300139                                 证券简称：福星晓程</dc:title>
  <dc:creator>shwandi</dc:creator>
  <cp:lastModifiedBy>china</cp:lastModifiedBy>
  <cp:revision>331</cp:revision>
  <cp:lastPrinted>2012-07-19T01:35:00Z</cp:lastPrinted>
  <dcterms:created xsi:type="dcterms:W3CDTF">2015-11-23T03:58:00Z</dcterms:created>
  <dcterms:modified xsi:type="dcterms:W3CDTF">2015-11-23T09:15:00Z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