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C44231" w:rsidRDefault="00070B3E" w:rsidP="00DC53F1">
      <w:pPr>
        <w:spacing w:line="400" w:lineRule="exact"/>
        <w:jc w:val="center"/>
        <w:rPr>
          <w:bCs/>
          <w:iCs/>
          <w:sz w:val="24"/>
        </w:rPr>
      </w:pPr>
      <w:r w:rsidRPr="00C44231">
        <w:rPr>
          <w:rFonts w:hAnsi="宋体"/>
          <w:bCs/>
          <w:iCs/>
          <w:sz w:val="24"/>
        </w:rPr>
        <w:t>证券代码：</w:t>
      </w:r>
      <w:r w:rsidRPr="00C44231">
        <w:rPr>
          <w:bCs/>
          <w:iCs/>
          <w:sz w:val="24"/>
        </w:rPr>
        <w:t xml:space="preserve">002554          </w:t>
      </w:r>
      <w:r w:rsidR="0004493A" w:rsidRPr="00C44231">
        <w:rPr>
          <w:bCs/>
          <w:iCs/>
          <w:sz w:val="24"/>
        </w:rPr>
        <w:t xml:space="preserve">         </w:t>
      </w:r>
      <w:r w:rsidRPr="00C44231">
        <w:rPr>
          <w:bCs/>
          <w:iCs/>
          <w:sz w:val="24"/>
        </w:rPr>
        <w:t xml:space="preserve">           </w:t>
      </w:r>
      <w:r w:rsidRPr="00C44231">
        <w:rPr>
          <w:rFonts w:hAnsi="宋体"/>
          <w:bCs/>
          <w:iCs/>
          <w:sz w:val="24"/>
        </w:rPr>
        <w:t>证券简称：惠博普</w:t>
      </w:r>
    </w:p>
    <w:p w:rsidR="00DC53F1" w:rsidRDefault="00DC53F1" w:rsidP="00DC53F1">
      <w:pPr>
        <w:jc w:val="center"/>
        <w:rPr>
          <w:rFonts w:hAnsi="宋体"/>
          <w:b/>
          <w:bCs/>
          <w:iCs/>
          <w:sz w:val="24"/>
          <w:szCs w:val="24"/>
        </w:rPr>
      </w:pPr>
    </w:p>
    <w:p w:rsidR="00070B3E" w:rsidRPr="00DC53F1" w:rsidRDefault="00070B3E" w:rsidP="00C03659">
      <w:pPr>
        <w:spacing w:beforeLines="50" w:afterLines="50" w:line="360" w:lineRule="auto"/>
        <w:jc w:val="center"/>
        <w:rPr>
          <w:b/>
          <w:bCs/>
          <w:iCs/>
          <w:sz w:val="24"/>
          <w:szCs w:val="24"/>
        </w:rPr>
      </w:pPr>
      <w:proofErr w:type="gramStart"/>
      <w:r w:rsidRPr="00DC53F1">
        <w:rPr>
          <w:rFonts w:hAnsi="宋体"/>
          <w:b/>
          <w:bCs/>
          <w:iCs/>
          <w:sz w:val="24"/>
          <w:szCs w:val="24"/>
        </w:rPr>
        <w:t>华油惠博普</w:t>
      </w:r>
      <w:proofErr w:type="gramEnd"/>
      <w:r w:rsidRPr="00DC53F1">
        <w:rPr>
          <w:rFonts w:hAnsi="宋体"/>
          <w:b/>
          <w:bCs/>
          <w:iCs/>
          <w:sz w:val="24"/>
          <w:szCs w:val="24"/>
        </w:rPr>
        <w:t>科技股份有限公司投资者关系活动记录表</w:t>
      </w:r>
    </w:p>
    <w:p w:rsidR="00070B3E" w:rsidRPr="005B6213" w:rsidRDefault="00070B3E" w:rsidP="00070B3E">
      <w:pPr>
        <w:spacing w:line="400" w:lineRule="exact"/>
        <w:rPr>
          <w:bCs/>
          <w:iCs/>
          <w:color w:val="000000" w:themeColor="text1"/>
          <w:sz w:val="24"/>
          <w:szCs w:val="24"/>
        </w:rPr>
      </w:pPr>
      <w:r w:rsidRPr="00C44231">
        <w:rPr>
          <w:bCs/>
          <w:iCs/>
          <w:sz w:val="24"/>
          <w:szCs w:val="24"/>
        </w:rPr>
        <w:t xml:space="preserve">                                                     </w:t>
      </w:r>
      <w:r w:rsidR="00731D32" w:rsidRPr="00C44231">
        <w:rPr>
          <w:bCs/>
          <w:iCs/>
          <w:sz w:val="24"/>
          <w:szCs w:val="24"/>
        </w:rPr>
        <w:t xml:space="preserve">  </w:t>
      </w:r>
      <w:r w:rsidRPr="00C44231">
        <w:rPr>
          <w:bCs/>
          <w:iCs/>
          <w:sz w:val="24"/>
          <w:szCs w:val="24"/>
        </w:rPr>
        <w:t xml:space="preserve"> </w:t>
      </w:r>
      <w:r w:rsidRPr="00C44231">
        <w:rPr>
          <w:rFonts w:hAnsi="宋体"/>
          <w:bCs/>
          <w:iCs/>
          <w:sz w:val="24"/>
          <w:szCs w:val="24"/>
        </w:rPr>
        <w:t>编号：</w:t>
      </w:r>
      <w:r w:rsidR="000D24B2">
        <w:rPr>
          <w:bCs/>
          <w:iCs/>
          <w:color w:val="000000" w:themeColor="text1"/>
          <w:sz w:val="24"/>
          <w:szCs w:val="24"/>
        </w:rPr>
        <w:t>201</w:t>
      </w:r>
      <w:r w:rsidR="000D24B2">
        <w:rPr>
          <w:rFonts w:hint="eastAsia"/>
          <w:bCs/>
          <w:iCs/>
          <w:color w:val="000000" w:themeColor="text1"/>
          <w:sz w:val="24"/>
          <w:szCs w:val="24"/>
        </w:rPr>
        <w:t>6</w:t>
      </w:r>
      <w:r w:rsidR="00077373">
        <w:rPr>
          <w:bCs/>
          <w:iCs/>
          <w:color w:val="000000" w:themeColor="text1"/>
          <w:sz w:val="24"/>
          <w:szCs w:val="24"/>
        </w:rPr>
        <w:t>-</w:t>
      </w:r>
      <w:r w:rsidR="00482455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86035C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0D24B2">
        <w:rPr>
          <w:rFonts w:hint="eastAsia"/>
          <w:bCs/>
          <w:iCs/>
          <w:color w:val="000000" w:themeColor="text1"/>
          <w:sz w:val="24"/>
          <w:szCs w:val="24"/>
        </w:rPr>
        <w:t>1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B22A9" w:rsidRDefault="00070B3E" w:rsidP="00F333EB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CB22A9"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DD30FA" w:rsidRPr="005A7FBF" w:rsidRDefault="005C7E91" w:rsidP="00DD30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中国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银河证券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，王华君、刘兰程</w:t>
            </w:r>
            <w:r w:rsidR="005A3BD2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5A3BD2" w:rsidRPr="005A7FBF">
              <w:rPr>
                <w:rFonts w:hAnsi="宋体" w:hint="eastAsia"/>
                <w:bCs/>
                <w:iCs/>
                <w:sz w:val="24"/>
                <w:szCs w:val="24"/>
              </w:rPr>
              <w:t>黄正杰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D30FA" w:rsidRPr="005A7FBF" w:rsidRDefault="00E974F7" w:rsidP="00DD30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方正富邦基金管理有限公司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，徐超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D30FA" w:rsidRPr="005A7FBF" w:rsidRDefault="00720527" w:rsidP="00DD30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北京</w:t>
            </w:r>
            <w:r w:rsidR="00E974F7" w:rsidRPr="005A7FBF">
              <w:rPr>
                <w:rFonts w:hAnsi="宋体" w:hint="eastAsia"/>
                <w:bCs/>
                <w:iCs/>
                <w:sz w:val="24"/>
                <w:szCs w:val="24"/>
              </w:rPr>
              <w:t>天星资本股份有限公司</w:t>
            </w:r>
            <w:r w:rsidR="00E974F7">
              <w:rPr>
                <w:rFonts w:hAnsi="宋体" w:hint="eastAsia"/>
                <w:bCs/>
                <w:iCs/>
                <w:sz w:val="24"/>
                <w:szCs w:val="24"/>
              </w:rPr>
              <w:t>，刘洋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D30FA" w:rsidRPr="005A7FBF" w:rsidRDefault="00E974F7" w:rsidP="00DD30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建信基金管理公司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，张洪磊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D30FA" w:rsidRPr="005A7FBF" w:rsidRDefault="00E974F7" w:rsidP="00DD30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信</w:t>
            </w:r>
            <w:proofErr w:type="gramStart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诚基金</w:t>
            </w:r>
            <w:proofErr w:type="gramEnd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管理有限公司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，孙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中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E5D44" w:rsidRPr="005A7FBF" w:rsidRDefault="00DE5D44" w:rsidP="00DE5D4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华安资产管理有限公司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，刘宇辙</w:t>
            </w: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D30FA" w:rsidRPr="005A7FBF" w:rsidRDefault="00E974F7" w:rsidP="00DD30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盛世</w:t>
            </w:r>
            <w:proofErr w:type="gramStart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景资产</w:t>
            </w:r>
            <w:proofErr w:type="gramEnd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管理股份有限公司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，熊英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9B10BE" w:rsidRDefault="009B10BE" w:rsidP="005A7FBF">
            <w:pPr>
              <w:spacing w:line="480" w:lineRule="atLeast"/>
              <w:rPr>
                <w:rFonts w:hAnsi="宋体" w:hint="eastAsia"/>
                <w:bCs/>
                <w:iCs/>
                <w:sz w:val="24"/>
                <w:szCs w:val="24"/>
              </w:rPr>
            </w:pPr>
            <w:proofErr w:type="gramStart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浦银安盛基金</w:t>
            </w:r>
            <w:proofErr w:type="gramEnd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管理有限公司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，姚卫巍</w:t>
            </w: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DD30FA" w:rsidRPr="00DD30FA" w:rsidRDefault="00E974F7" w:rsidP="005A7FB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天安财险有限公司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戎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毅仁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5A7FBF" w:rsidRPr="005A7FBF" w:rsidRDefault="00E974F7" w:rsidP="005A7FB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proofErr w:type="gramStart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观厚投资</w:t>
            </w:r>
            <w:proofErr w:type="gramEnd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管理有限公司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，朱君</w:t>
            </w:r>
            <w:r w:rsidR="005A7FBF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5A7FBF" w:rsidRPr="005A7FBF" w:rsidRDefault="009B10BE" w:rsidP="005A7FB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北京</w:t>
            </w:r>
            <w:r w:rsidR="00E974F7" w:rsidRPr="005A7FBF">
              <w:rPr>
                <w:rFonts w:hAnsi="宋体" w:hint="eastAsia"/>
                <w:bCs/>
                <w:iCs/>
                <w:sz w:val="24"/>
                <w:szCs w:val="24"/>
              </w:rPr>
              <w:t>古槐资本投资有限公司</w:t>
            </w:r>
            <w:r w:rsidR="00E974F7">
              <w:rPr>
                <w:rFonts w:hAnsi="宋体" w:hint="eastAsia"/>
                <w:bCs/>
                <w:iCs/>
                <w:sz w:val="24"/>
                <w:szCs w:val="24"/>
              </w:rPr>
              <w:t>，伍嘉</w:t>
            </w:r>
            <w:r w:rsidR="005A7FBF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5A7FBF" w:rsidRPr="00DD30FA" w:rsidRDefault="00E974F7" w:rsidP="005A7FB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proofErr w:type="gramStart"/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华融证券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，张迪</w:t>
            </w:r>
            <w:r w:rsidR="005A7FBF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太平洋证券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，刘倩倩</w:t>
            </w:r>
            <w:r w:rsidR="00DD30FA" w:rsidRPr="005A7FB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0D24B2" w:rsidRDefault="00E974F7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5A7FBF">
              <w:rPr>
                <w:rFonts w:hAnsi="宋体" w:hint="eastAsia"/>
                <w:bCs/>
                <w:iCs/>
                <w:sz w:val="24"/>
                <w:szCs w:val="24"/>
              </w:rPr>
              <w:t>共青城逍遥投资管理合伙企业（有限合伙）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，谈杰</w:t>
            </w:r>
            <w:r w:rsidR="005A7FBF" w:rsidRPr="005A7FBF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3554B3" w:rsidRPr="0080453F" w:rsidRDefault="007F5CB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0D24B2" w:rsidP="00B2691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482455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B26919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  <w:r w:rsidR="0088248E">
              <w:rPr>
                <w:bCs/>
                <w:iCs/>
                <w:sz w:val="24"/>
                <w:szCs w:val="24"/>
              </w:rPr>
              <w:t xml:space="preserve">  </w:t>
            </w:r>
            <w:r w:rsidR="00E61E4C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DE72ED">
              <w:rPr>
                <w:bCs/>
                <w:iCs/>
                <w:sz w:val="24"/>
                <w:szCs w:val="24"/>
              </w:rPr>
              <w:t>:</w:t>
            </w:r>
            <w:r w:rsidR="00C111F7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88248E">
              <w:rPr>
                <w:bCs/>
                <w:iCs/>
                <w:sz w:val="24"/>
                <w:szCs w:val="24"/>
              </w:rPr>
              <w:t>0-1</w:t>
            </w: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B00E3D">
              <w:rPr>
                <w:bCs/>
                <w:iCs/>
                <w:sz w:val="24"/>
                <w:szCs w:val="24"/>
              </w:rPr>
              <w:t>:</w:t>
            </w:r>
            <w:r w:rsidR="00B00E3D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3554B3" w:rsidRPr="00C4423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C44231" w:rsidRDefault="000D24B2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710B76" w:rsidRDefault="000641D9" w:rsidP="000641D9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董事长</w:t>
            </w:r>
            <w:r w:rsidR="00CF7483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B26919">
              <w:rPr>
                <w:rFonts w:hAnsi="宋体" w:hint="eastAsia"/>
                <w:bCs/>
                <w:iCs/>
                <w:sz w:val="24"/>
                <w:szCs w:val="24"/>
              </w:rPr>
              <w:t>黄松</w:t>
            </w:r>
            <w:r w:rsidR="0039047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710B76" w:rsidRDefault="000641D9" w:rsidP="000641D9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董事、总经理</w:t>
            </w:r>
            <w:r w:rsidR="00CF7483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B26919">
              <w:rPr>
                <w:rFonts w:hAnsi="宋体" w:hint="eastAsia"/>
                <w:bCs/>
                <w:iCs/>
                <w:sz w:val="24"/>
                <w:szCs w:val="24"/>
              </w:rPr>
              <w:t>白明</w:t>
            </w:r>
            <w:proofErr w:type="gramStart"/>
            <w:r w:rsidR="00B26919">
              <w:rPr>
                <w:rFonts w:hAnsi="宋体" w:hint="eastAsia"/>
                <w:bCs/>
                <w:iCs/>
                <w:sz w:val="24"/>
                <w:szCs w:val="24"/>
              </w:rPr>
              <w:t>垠</w:t>
            </w:r>
            <w:proofErr w:type="gramEnd"/>
            <w:r w:rsidR="0039047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CA2167" w:rsidRDefault="000641D9" w:rsidP="000641D9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董事会秘书</w:t>
            </w:r>
            <w:r w:rsidR="00BE4097">
              <w:rPr>
                <w:rFonts w:hAnsi="宋体" w:hint="eastAsia"/>
                <w:bCs/>
                <w:iCs/>
                <w:sz w:val="24"/>
                <w:szCs w:val="24"/>
              </w:rPr>
              <w:t>、副总经理</w:t>
            </w:r>
            <w:r w:rsidR="00CF7483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210E43" w:rsidRPr="00C44231">
              <w:rPr>
                <w:rFonts w:hAnsi="宋体"/>
                <w:bCs/>
                <w:iCs/>
                <w:sz w:val="24"/>
                <w:szCs w:val="24"/>
              </w:rPr>
              <w:t>张中炜</w:t>
            </w:r>
            <w:r w:rsidR="0039047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7E4AFD" w:rsidRPr="007E4AFD" w:rsidRDefault="007E4AFD" w:rsidP="0086035C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证券事务代表</w:t>
            </w:r>
            <w:r w:rsidR="00CF7483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王媛媛。</w:t>
            </w:r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:rsidR="00070B3E" w:rsidRPr="00C44231" w:rsidRDefault="00070B3E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6E05A3" w:rsidRPr="0036723F" w:rsidRDefault="0036723F" w:rsidP="000641D9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36723F"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一、公司</w:t>
            </w:r>
            <w:r w:rsidR="00FF1A7B">
              <w:rPr>
                <w:rFonts w:hAnsi="宋体" w:hint="eastAsia"/>
                <w:b/>
                <w:bCs/>
                <w:iCs/>
                <w:sz w:val="24"/>
                <w:szCs w:val="24"/>
              </w:rPr>
              <w:t>业绩</w:t>
            </w:r>
            <w:r w:rsidR="006E05A3" w:rsidRPr="0036723F">
              <w:rPr>
                <w:rFonts w:hAnsi="宋体" w:hint="eastAsia"/>
                <w:b/>
                <w:bCs/>
                <w:iCs/>
                <w:sz w:val="24"/>
                <w:szCs w:val="24"/>
              </w:rPr>
              <w:t>情况</w:t>
            </w:r>
            <w:r w:rsidRPr="0036723F">
              <w:rPr>
                <w:rFonts w:hAnsi="宋体" w:hint="eastAsia"/>
                <w:b/>
                <w:bCs/>
                <w:iCs/>
                <w:sz w:val="24"/>
                <w:szCs w:val="24"/>
              </w:rPr>
              <w:t>介绍</w:t>
            </w:r>
          </w:p>
          <w:p w:rsidR="009D3728" w:rsidRDefault="000641D9" w:rsidP="0036723F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sz w:val="24"/>
                <w:szCs w:val="24"/>
              </w:rPr>
            </w:pP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2015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36723F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业绩稳中有升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513433">
              <w:rPr>
                <w:rFonts w:hAnsi="宋体" w:hint="eastAsia"/>
                <w:bCs/>
                <w:iCs/>
                <w:sz w:val="24"/>
                <w:szCs w:val="24"/>
              </w:rPr>
              <w:t>同时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公司对</w:t>
            </w:r>
            <w:r w:rsidR="00513433">
              <w:rPr>
                <w:rFonts w:hAnsi="宋体" w:hint="eastAsia"/>
                <w:bCs/>
                <w:iCs/>
                <w:sz w:val="24"/>
                <w:szCs w:val="24"/>
              </w:rPr>
              <w:t>完成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2016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513433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6C77C4">
              <w:rPr>
                <w:rFonts w:hAnsi="宋体" w:hint="eastAsia"/>
                <w:bCs/>
                <w:iCs/>
                <w:sz w:val="24"/>
                <w:szCs w:val="24"/>
              </w:rPr>
              <w:t>股权激励的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业绩</w:t>
            </w:r>
            <w:r w:rsidR="009D3728">
              <w:rPr>
                <w:rFonts w:hAnsi="宋体" w:hint="eastAsia"/>
                <w:bCs/>
                <w:iCs/>
                <w:sz w:val="24"/>
                <w:szCs w:val="24"/>
              </w:rPr>
              <w:t>目标</w:t>
            </w:r>
            <w:r w:rsidR="006C77C4">
              <w:rPr>
                <w:rFonts w:hAnsi="宋体" w:hint="eastAsia"/>
                <w:bCs/>
                <w:iCs/>
                <w:sz w:val="24"/>
                <w:szCs w:val="24"/>
              </w:rPr>
              <w:t>很有把握，并且力争有更大的突破</w:t>
            </w:r>
            <w:r w:rsidR="009F1E69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513433">
              <w:rPr>
                <w:rFonts w:hAnsi="宋体" w:hint="eastAsia"/>
                <w:bCs/>
                <w:iCs/>
                <w:sz w:val="24"/>
                <w:szCs w:val="24"/>
              </w:rPr>
              <w:t>2016</w:t>
            </w:r>
            <w:r w:rsidR="00513433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业绩</w:t>
            </w:r>
            <w:r w:rsidR="009D3728">
              <w:rPr>
                <w:rFonts w:hAnsi="宋体" w:hint="eastAsia"/>
                <w:bCs/>
                <w:iCs/>
                <w:sz w:val="24"/>
                <w:szCs w:val="24"/>
              </w:rPr>
              <w:t>的实现主要</w:t>
            </w:r>
            <w:r w:rsidR="00513433">
              <w:rPr>
                <w:rFonts w:hAnsi="宋体" w:hint="eastAsia"/>
                <w:bCs/>
                <w:iCs/>
                <w:sz w:val="24"/>
                <w:szCs w:val="24"/>
              </w:rPr>
              <w:t>依靠三个方面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 w:rsidR="008E749C">
              <w:rPr>
                <w:rFonts w:hAnsi="宋体" w:hint="eastAsia"/>
                <w:bCs/>
                <w:iCs/>
                <w:sz w:val="24"/>
                <w:szCs w:val="24"/>
              </w:rPr>
              <w:t>、传统石油石化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EPC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工程</w:t>
            </w:r>
            <w:r w:rsidR="007B69AD">
              <w:rPr>
                <w:rFonts w:hAnsi="宋体" w:hint="eastAsia"/>
                <w:bCs/>
                <w:iCs/>
                <w:sz w:val="24"/>
                <w:szCs w:val="24"/>
              </w:rPr>
              <w:t>总承包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和装备，</w:t>
            </w:r>
            <w:r w:rsidR="008E749C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去年</w:t>
            </w:r>
            <w:r w:rsidR="006E3DB5">
              <w:rPr>
                <w:rFonts w:hAnsi="宋体" w:hint="eastAsia"/>
                <w:bCs/>
                <w:iCs/>
                <w:sz w:val="24"/>
                <w:szCs w:val="24"/>
              </w:rPr>
              <w:t>中标</w:t>
            </w:r>
            <w:r w:rsidR="008E749C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大订单</w:t>
            </w:r>
            <w:r w:rsidR="008E749C">
              <w:rPr>
                <w:rFonts w:hAnsi="宋体" w:hint="eastAsia"/>
                <w:bCs/>
                <w:iCs/>
                <w:sz w:val="24"/>
                <w:szCs w:val="24"/>
              </w:rPr>
              <w:t>能够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保证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2016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9D3728">
              <w:rPr>
                <w:rFonts w:hAnsi="宋体" w:hint="eastAsia"/>
                <w:bCs/>
                <w:iCs/>
                <w:sz w:val="24"/>
                <w:szCs w:val="24"/>
              </w:rPr>
              <w:t>的业绩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实现；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、环保业务，由油田环保向石化、</w:t>
            </w:r>
            <w:r w:rsidR="005F3E97">
              <w:rPr>
                <w:rFonts w:hAnsi="宋体" w:hint="eastAsia"/>
                <w:bCs/>
                <w:iCs/>
                <w:sz w:val="24"/>
                <w:szCs w:val="24"/>
              </w:rPr>
              <w:t>通用环保、炼化企业含油污泥处理突破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、管道工程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过去几年</w:t>
            </w:r>
            <w:r w:rsidR="005F3E97">
              <w:rPr>
                <w:rFonts w:hAnsi="宋体" w:hint="eastAsia"/>
                <w:bCs/>
                <w:iCs/>
                <w:sz w:val="24"/>
                <w:szCs w:val="24"/>
              </w:rPr>
              <w:t>子公司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潍坊凯特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管道自动化工程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业务保持了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良好</w:t>
            </w:r>
            <w:r w:rsidR="009F1E69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增速，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2016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DB014F">
              <w:rPr>
                <w:rFonts w:hAnsi="宋体" w:hint="eastAsia"/>
                <w:bCs/>
                <w:iCs/>
                <w:sz w:val="24"/>
                <w:szCs w:val="24"/>
              </w:rPr>
              <w:t>有望继续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保持稳步增长，</w:t>
            </w:r>
            <w:r w:rsidR="009460EF">
              <w:rPr>
                <w:rFonts w:hAnsi="宋体" w:hint="eastAsia"/>
                <w:bCs/>
                <w:iCs/>
                <w:sz w:val="24"/>
                <w:szCs w:val="24"/>
              </w:rPr>
              <w:t>同时，天津管道技术服务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公司在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2015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9460EF">
              <w:rPr>
                <w:rFonts w:hAnsi="宋体" w:hint="eastAsia"/>
                <w:bCs/>
                <w:iCs/>
                <w:sz w:val="24"/>
                <w:szCs w:val="24"/>
              </w:rPr>
              <w:t>进行了</w:t>
            </w:r>
            <w:r w:rsidR="00C906F6">
              <w:rPr>
                <w:rFonts w:hAnsi="宋体" w:hint="eastAsia"/>
                <w:bCs/>
                <w:iCs/>
                <w:sz w:val="24"/>
                <w:szCs w:val="24"/>
              </w:rPr>
              <w:t>智能内检测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技术</w:t>
            </w:r>
            <w:r w:rsidR="005F1D93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储备和开发，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2016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9460EF">
              <w:rPr>
                <w:rFonts w:hAnsi="宋体" w:hint="eastAsia"/>
                <w:bCs/>
                <w:iCs/>
                <w:sz w:val="24"/>
                <w:szCs w:val="24"/>
              </w:rPr>
              <w:t>将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逐步推向市场，同时有并购合作思路</w:t>
            </w:r>
            <w:r w:rsidR="00C906F6">
              <w:rPr>
                <w:rFonts w:hAnsi="宋体" w:hint="eastAsia"/>
                <w:bCs/>
                <w:iCs/>
                <w:sz w:val="24"/>
                <w:szCs w:val="24"/>
              </w:rPr>
              <w:t>，着力按照完整性管理的理念打造管道一体化服务能力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6E05A3" w:rsidRDefault="006E05A3" w:rsidP="006E05A3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</w:p>
          <w:p w:rsidR="009D3728" w:rsidRPr="006E05A3" w:rsidRDefault="006E05A3" w:rsidP="000641D9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二、互动交流摘要</w:t>
            </w:r>
          </w:p>
          <w:p w:rsidR="000641D9" w:rsidRPr="000641D9" w:rsidRDefault="00C9798E" w:rsidP="000641D9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0641D9">
              <w:rPr>
                <w:rFonts w:hAnsi="宋体" w:hint="eastAsia"/>
                <w:bCs/>
                <w:iCs/>
                <w:sz w:val="24"/>
                <w:szCs w:val="24"/>
              </w:rPr>
              <w:t>在目前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油价下跌</w:t>
            </w:r>
            <w:r w:rsidR="00C66024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情况下，</w:t>
            </w:r>
            <w:r w:rsidR="000641D9">
              <w:rPr>
                <w:rFonts w:hAnsi="宋体" w:hint="eastAsia"/>
                <w:bCs/>
                <w:iCs/>
                <w:sz w:val="24"/>
                <w:szCs w:val="24"/>
              </w:rPr>
              <w:t>公司如何保证</w:t>
            </w:r>
            <w:r w:rsidR="00072BBC">
              <w:rPr>
                <w:rFonts w:hAnsi="宋体" w:hint="eastAsia"/>
                <w:bCs/>
                <w:iCs/>
                <w:sz w:val="24"/>
                <w:szCs w:val="24"/>
              </w:rPr>
              <w:t>业绩</w:t>
            </w:r>
            <w:r w:rsidR="000641D9">
              <w:rPr>
                <w:rFonts w:hAnsi="宋体" w:hint="eastAsia"/>
                <w:bCs/>
                <w:iCs/>
                <w:sz w:val="24"/>
                <w:szCs w:val="24"/>
              </w:rPr>
              <w:t>持续</w:t>
            </w:r>
            <w:r w:rsidR="00C66024">
              <w:rPr>
                <w:rFonts w:hAnsi="宋体" w:hint="eastAsia"/>
                <w:bCs/>
                <w:iCs/>
                <w:sz w:val="24"/>
                <w:szCs w:val="24"/>
              </w:rPr>
              <w:t>增长</w:t>
            </w:r>
            <w:r w:rsidR="000641D9">
              <w:rPr>
                <w:rFonts w:hAnsi="宋体" w:hint="eastAsia"/>
                <w:bCs/>
                <w:iCs/>
                <w:sz w:val="24"/>
                <w:szCs w:val="24"/>
              </w:rPr>
              <w:t>？</w:t>
            </w:r>
          </w:p>
          <w:p w:rsidR="00B97335" w:rsidRDefault="000641D9" w:rsidP="000641D9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133EA3"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="00F95BF5" w:rsidRPr="00C077E2">
              <w:rPr>
                <w:rFonts w:hAnsi="宋体" w:hint="eastAsia"/>
                <w:bCs/>
                <w:iCs/>
                <w:sz w:val="24"/>
                <w:szCs w:val="24"/>
              </w:rPr>
              <w:t>低油价下，惠博普保持持续稳定增长，主要是</w:t>
            </w:r>
            <w:r w:rsidR="00F95BF5">
              <w:rPr>
                <w:rFonts w:hAnsi="宋体" w:hint="eastAsia"/>
                <w:bCs/>
                <w:iCs/>
                <w:sz w:val="24"/>
                <w:szCs w:val="24"/>
              </w:rPr>
              <w:t>由于</w:t>
            </w:r>
            <w:r w:rsidR="00F95BF5" w:rsidRPr="00C077E2">
              <w:rPr>
                <w:rFonts w:hAnsi="宋体" w:hint="eastAsia"/>
                <w:bCs/>
                <w:iCs/>
                <w:sz w:val="24"/>
                <w:szCs w:val="24"/>
              </w:rPr>
              <w:t>公司的服务对象和业务结构与其他公司存在差别。</w:t>
            </w:r>
            <w:r w:rsidR="00627EC1" w:rsidRPr="00C077E2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627EC1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133EA3">
              <w:rPr>
                <w:rFonts w:hAnsi="宋体" w:hint="eastAsia"/>
                <w:bCs/>
                <w:iCs/>
                <w:sz w:val="24"/>
                <w:szCs w:val="24"/>
              </w:rPr>
              <w:t>发展是</w:t>
            </w:r>
            <w:r w:rsidR="00627EC1" w:rsidRPr="00C077E2">
              <w:rPr>
                <w:rFonts w:hAnsi="宋体" w:hint="eastAsia"/>
                <w:bCs/>
                <w:iCs/>
                <w:sz w:val="24"/>
                <w:szCs w:val="24"/>
              </w:rPr>
              <w:t>以能源开发服务为主，围绕这一主题思路进行市场布局，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公司是创新型企业，</w:t>
            </w:r>
            <w:r w:rsidR="00627EC1">
              <w:rPr>
                <w:rFonts w:hAnsi="宋体" w:hint="eastAsia"/>
                <w:bCs/>
                <w:iCs/>
                <w:sz w:val="24"/>
                <w:szCs w:val="24"/>
              </w:rPr>
              <w:t>从设计、制造、管理全产业链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系统发展</w:t>
            </w:r>
            <w:r w:rsidR="00627EC1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企业，</w:t>
            </w:r>
            <w:r w:rsidR="00133EA3" w:rsidRPr="000641D9">
              <w:rPr>
                <w:rFonts w:hAnsi="宋体" w:hint="eastAsia"/>
                <w:bCs/>
                <w:iCs/>
                <w:sz w:val="24"/>
                <w:szCs w:val="24"/>
              </w:rPr>
              <w:t>依靠自身能力、技术特点和创新能力不断扩展业务，</w:t>
            </w:r>
            <w:r w:rsidR="00133EA3">
              <w:rPr>
                <w:rFonts w:hAnsi="宋体" w:hint="eastAsia"/>
                <w:bCs/>
                <w:iCs/>
                <w:sz w:val="24"/>
                <w:szCs w:val="24"/>
              </w:rPr>
              <w:t>完成了从单一设备提供商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向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EPC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总承包商的跨越。</w:t>
            </w:r>
            <w:r w:rsidR="00627EC1"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="003215C1">
              <w:rPr>
                <w:rFonts w:hAnsi="宋体" w:hint="eastAsia"/>
                <w:bCs/>
                <w:iCs/>
                <w:sz w:val="24"/>
                <w:szCs w:val="24"/>
              </w:rPr>
              <w:t>低油价下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，业主可能</w:t>
            </w:r>
            <w:r w:rsidR="00597DE4">
              <w:rPr>
                <w:rFonts w:hAnsi="宋体" w:hint="eastAsia"/>
                <w:bCs/>
                <w:iCs/>
                <w:sz w:val="24"/>
                <w:szCs w:val="24"/>
              </w:rPr>
              <w:t>会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考虑放缓工程建设速度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597DE4">
              <w:rPr>
                <w:rFonts w:hAnsi="宋体" w:hint="eastAsia"/>
                <w:bCs/>
                <w:iCs/>
                <w:sz w:val="24"/>
                <w:szCs w:val="24"/>
              </w:rPr>
              <w:t>但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工程建设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一般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需要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2-3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337C22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周期</w:t>
            </w:r>
            <w:r w:rsidR="00597DE4">
              <w:rPr>
                <w:rFonts w:hAnsi="宋体" w:hint="eastAsia"/>
                <w:bCs/>
                <w:iCs/>
                <w:sz w:val="24"/>
                <w:szCs w:val="24"/>
              </w:rPr>
              <w:t>才能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完成系统</w:t>
            </w:r>
            <w:r w:rsidR="007E4AFD">
              <w:rPr>
                <w:rFonts w:hAnsi="宋体" w:hint="eastAsia"/>
                <w:bCs/>
                <w:iCs/>
                <w:sz w:val="24"/>
                <w:szCs w:val="24"/>
              </w:rPr>
              <w:t>建设</w:t>
            </w:r>
            <w:r w:rsidR="003215C1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A41D05" w:rsidRPr="00C077E2">
              <w:rPr>
                <w:rFonts w:hAnsi="宋体" w:hint="eastAsia"/>
                <w:bCs/>
                <w:iCs/>
                <w:sz w:val="24"/>
                <w:szCs w:val="24"/>
              </w:rPr>
              <w:t>油田进入开发后，依然要形成产能，因此地面工程项目不会停。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同时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C9798E">
              <w:rPr>
                <w:rFonts w:hAnsi="宋体" w:hint="eastAsia"/>
                <w:bCs/>
                <w:iCs/>
                <w:sz w:val="24"/>
                <w:szCs w:val="24"/>
              </w:rPr>
              <w:t>低油价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导致大宗材料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成本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下降，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27657C">
              <w:rPr>
                <w:rFonts w:hAnsi="宋体" w:hint="eastAsia"/>
                <w:bCs/>
                <w:iCs/>
                <w:sz w:val="24"/>
                <w:szCs w:val="24"/>
              </w:rPr>
              <w:t>海外</w:t>
            </w:r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大项目</w:t>
            </w:r>
            <w:r w:rsidR="003215C1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实际成本</w:t>
            </w:r>
            <w:proofErr w:type="gramStart"/>
            <w:r w:rsidR="00B97335">
              <w:rPr>
                <w:rFonts w:hAnsi="宋体" w:hint="eastAsia"/>
                <w:bCs/>
                <w:iCs/>
                <w:sz w:val="24"/>
                <w:szCs w:val="24"/>
              </w:rPr>
              <w:t>较预算</w:t>
            </w:r>
            <w:proofErr w:type="gramEnd"/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降低很多</w:t>
            </w:r>
            <w:r w:rsidR="00C906F6">
              <w:rPr>
                <w:rFonts w:hAnsi="宋体" w:hint="eastAsia"/>
                <w:bCs/>
                <w:iCs/>
                <w:sz w:val="24"/>
                <w:szCs w:val="24"/>
              </w:rPr>
              <w:t>，盈利能力大幅提升</w:t>
            </w:r>
            <w:r w:rsidRPr="000641D9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383FC9" w:rsidRPr="000641D9" w:rsidRDefault="00C66024" w:rsidP="000641D9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在石化环保业务方面，</w:t>
            </w:r>
            <w:r w:rsidR="00C906F6">
              <w:rPr>
                <w:rFonts w:hAnsi="宋体" w:hint="eastAsia"/>
                <w:bCs/>
                <w:iCs/>
                <w:sz w:val="24"/>
                <w:szCs w:val="24"/>
              </w:rPr>
              <w:t>高难度含油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污泥处理</w:t>
            </w:r>
            <w:r w:rsidR="00C906F6">
              <w:rPr>
                <w:rFonts w:hAnsi="宋体" w:hint="eastAsia"/>
                <w:bCs/>
                <w:iCs/>
                <w:sz w:val="24"/>
                <w:szCs w:val="24"/>
              </w:rPr>
              <w:t>服务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业务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去年年底至今已与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多家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企业进行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了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技术交流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和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实验，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都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得到了良好的认可。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同时，公司从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2015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年开始打造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通用环保业务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架构，目前已有初步成果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公司还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参与了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国际市场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环保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大项目的投标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，主业油气处理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脱酸、脱硫技术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都与环保有关，这些相关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项目</w:t>
            </w:r>
            <w:r w:rsidR="002D5B9F">
              <w:rPr>
                <w:rFonts w:hAnsi="宋体" w:hint="eastAsia"/>
                <w:bCs/>
                <w:iCs/>
                <w:sz w:val="24"/>
                <w:szCs w:val="24"/>
              </w:rPr>
              <w:t>的发展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也带动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了环保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业务的发展。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去年投资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亿元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在天津成立环境工程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公司，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对环保业务进行专业化管理，形成核心团队，</w:t>
            </w:r>
            <w:r w:rsidR="00383FC9">
              <w:rPr>
                <w:rFonts w:hAnsi="宋体" w:hint="eastAsia"/>
                <w:bCs/>
                <w:iCs/>
                <w:sz w:val="24"/>
                <w:szCs w:val="24"/>
              </w:rPr>
              <w:t>并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与支持单位合作。</w:t>
            </w:r>
          </w:p>
          <w:p w:rsidR="009777B0" w:rsidRDefault="00383FC9" w:rsidP="00DD1C56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在油气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管道业务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方面，目前承担</w:t>
            </w:r>
            <w:r w:rsidR="005A7FBF">
              <w:rPr>
                <w:rFonts w:hAnsi="宋体" w:hint="eastAsia"/>
                <w:bCs/>
                <w:iCs/>
                <w:sz w:val="24"/>
                <w:szCs w:val="24"/>
              </w:rPr>
              <w:t>该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业务的公司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主要是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子公司潍坊凯特，该公司在国内具有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领先</w:t>
            </w:r>
            <w:r w:rsidR="00610BB7">
              <w:rPr>
                <w:rFonts w:hAnsi="宋体" w:hint="eastAsia"/>
                <w:bCs/>
                <w:iCs/>
                <w:sz w:val="24"/>
                <w:szCs w:val="24"/>
              </w:rPr>
              <w:t>优势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。公司看好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油气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管道未来的发展，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我国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管网不及美国的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1/3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DD1C56">
              <w:rPr>
                <w:rFonts w:hAnsi="宋体" w:hint="eastAsia"/>
                <w:bCs/>
                <w:iCs/>
                <w:sz w:val="24"/>
                <w:szCs w:val="24"/>
              </w:rPr>
              <w:t>国家对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未来管网发展有总体规划。公司</w:t>
            </w:r>
            <w:r w:rsidR="00DD1C56">
              <w:rPr>
                <w:rFonts w:hAnsi="宋体" w:hint="eastAsia"/>
                <w:bCs/>
                <w:iCs/>
                <w:sz w:val="24"/>
                <w:szCs w:val="24"/>
              </w:rPr>
              <w:t>去年年初成立了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天津管道</w:t>
            </w:r>
            <w:r w:rsidR="00DD1C56">
              <w:rPr>
                <w:rFonts w:hAnsi="宋体" w:hint="eastAsia"/>
                <w:bCs/>
                <w:iCs/>
                <w:sz w:val="24"/>
                <w:szCs w:val="24"/>
              </w:rPr>
              <w:t>技术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服务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公司，未来计划以管道完整性管理为核心，</w:t>
            </w:r>
            <w:r w:rsidR="00DD1C56">
              <w:rPr>
                <w:rFonts w:hAnsi="宋体" w:hint="eastAsia"/>
                <w:bCs/>
                <w:iCs/>
                <w:sz w:val="24"/>
                <w:szCs w:val="24"/>
              </w:rPr>
              <w:t>包括管道内检测、外检测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、抢修、安全性评价、巡检</w:t>
            </w:r>
            <w:r w:rsidR="00DD1C56">
              <w:rPr>
                <w:rFonts w:hAnsi="宋体" w:hint="eastAsia"/>
                <w:bCs/>
                <w:iCs/>
                <w:sz w:val="24"/>
                <w:szCs w:val="24"/>
              </w:rPr>
              <w:t>等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DD1C56">
              <w:rPr>
                <w:rFonts w:hAnsi="宋体" w:hint="eastAsia"/>
                <w:bCs/>
                <w:iCs/>
                <w:sz w:val="24"/>
                <w:szCs w:val="24"/>
              </w:rPr>
              <w:t>打造</w:t>
            </w:r>
            <w:r w:rsidR="000641D9" w:rsidRPr="000641D9">
              <w:rPr>
                <w:rFonts w:hAnsi="宋体" w:hint="eastAsia"/>
                <w:bCs/>
                <w:iCs/>
                <w:sz w:val="24"/>
                <w:szCs w:val="24"/>
              </w:rPr>
              <w:t>管道安全完整性业务。</w:t>
            </w:r>
          </w:p>
          <w:p w:rsidR="007B45EB" w:rsidRPr="007B45EB" w:rsidRDefault="007B45EB" w:rsidP="007B45EB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F00E0" w:rsidRDefault="00955854" w:rsidP="007B45EB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9F00E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4E7F07">
              <w:rPr>
                <w:rFonts w:hAnsi="宋体" w:hint="eastAsia"/>
                <w:bCs/>
                <w:iCs/>
                <w:sz w:val="24"/>
                <w:szCs w:val="24"/>
              </w:rPr>
              <w:t>管道业务未来</w:t>
            </w:r>
            <w:r w:rsidR="00881B53">
              <w:rPr>
                <w:rFonts w:hAnsi="宋体" w:hint="eastAsia"/>
                <w:bCs/>
                <w:iCs/>
                <w:sz w:val="24"/>
                <w:szCs w:val="24"/>
              </w:rPr>
              <w:t>如何</w:t>
            </w:r>
            <w:r w:rsidR="006D2F25">
              <w:rPr>
                <w:rFonts w:hAnsi="宋体" w:hint="eastAsia"/>
                <w:bCs/>
                <w:iCs/>
                <w:sz w:val="24"/>
                <w:szCs w:val="24"/>
              </w:rPr>
              <w:t>发展？</w:t>
            </w:r>
          </w:p>
          <w:p w:rsidR="007B45EB" w:rsidRPr="007B45EB" w:rsidRDefault="009F00E0" w:rsidP="006C080D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4E7F07">
              <w:rPr>
                <w:rFonts w:hAnsi="宋体" w:hint="eastAsia"/>
                <w:bCs/>
                <w:iCs/>
                <w:sz w:val="24"/>
                <w:szCs w:val="24"/>
              </w:rPr>
              <w:t>国内</w:t>
            </w:r>
            <w:r w:rsidR="006C080D">
              <w:rPr>
                <w:rFonts w:hAnsi="宋体" w:hint="eastAsia"/>
                <w:bCs/>
                <w:iCs/>
                <w:sz w:val="24"/>
                <w:szCs w:val="24"/>
              </w:rPr>
              <w:t>三大石油公司管理的长输管线</w:t>
            </w:r>
            <w:r w:rsidR="006C080D">
              <w:rPr>
                <w:rFonts w:hAnsi="宋体" w:hint="eastAsia"/>
                <w:bCs/>
                <w:iCs/>
                <w:sz w:val="24"/>
                <w:szCs w:val="24"/>
              </w:rPr>
              <w:t>2015</w:t>
            </w:r>
            <w:r w:rsidR="004E7F07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6C080D">
              <w:rPr>
                <w:rFonts w:hAnsi="宋体" w:hint="eastAsia"/>
                <w:bCs/>
                <w:iCs/>
                <w:sz w:val="24"/>
                <w:szCs w:val="24"/>
              </w:rPr>
              <w:t>约有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13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万多公里，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主要是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跨省的管道，加上各省的支线管网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以及城市管网预计有几十万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公里以上，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这些管网</w:t>
            </w:r>
            <w:r w:rsidR="004E7F07">
              <w:rPr>
                <w:rFonts w:hAnsi="宋体" w:hint="eastAsia"/>
                <w:bCs/>
                <w:iCs/>
                <w:sz w:val="24"/>
                <w:szCs w:val="24"/>
              </w:rPr>
              <w:t>都在公司的服务范围，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未来</w:t>
            </w:r>
            <w:r w:rsidR="002909F7">
              <w:rPr>
                <w:rFonts w:hAnsi="宋体" w:hint="eastAsia"/>
                <w:bCs/>
                <w:iCs/>
                <w:sz w:val="24"/>
                <w:szCs w:val="24"/>
              </w:rPr>
              <w:t>管网</w:t>
            </w:r>
            <w:r w:rsidR="006C080D">
              <w:rPr>
                <w:rFonts w:hAnsi="宋体" w:hint="eastAsia"/>
                <w:bCs/>
                <w:iCs/>
                <w:sz w:val="24"/>
                <w:szCs w:val="24"/>
              </w:rPr>
              <w:t>新增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市场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空间</w:t>
            </w:r>
            <w:r w:rsidR="006C080D">
              <w:rPr>
                <w:rFonts w:hAnsi="宋体" w:hint="eastAsia"/>
                <w:bCs/>
                <w:iCs/>
                <w:sz w:val="24"/>
                <w:szCs w:val="24"/>
              </w:rPr>
              <w:t>巨大</w:t>
            </w:r>
            <w:r w:rsidR="00955854" w:rsidRPr="007B45EB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目前管道建设故障率很大，存在很大隐患。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自黄岛爆炸案以来，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国家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已经对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管道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提出了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隐患治理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要求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这方面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也是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公司未来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发展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A127C6" w:rsidRPr="00FE1855">
              <w:rPr>
                <w:rFonts w:hAnsi="宋体" w:hint="eastAsia"/>
                <w:bCs/>
                <w:iCs/>
                <w:sz w:val="24"/>
                <w:szCs w:val="24"/>
              </w:rPr>
              <w:t>重点。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子公司潍坊凯特目前正以自动化为基础，进行数字化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系统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建设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，目前重点是建立行业认可的标准，以及工具和手段</w:t>
            </w:r>
            <w:r w:rsidR="00A127C6">
              <w:rPr>
                <w:rFonts w:hAnsi="宋体" w:hint="eastAsia"/>
                <w:bCs/>
                <w:iCs/>
                <w:sz w:val="24"/>
                <w:szCs w:val="24"/>
              </w:rPr>
              <w:t>来实现行业</w:t>
            </w:r>
            <w:r w:rsidR="002909F7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标准化。</w:t>
            </w:r>
          </w:p>
          <w:p w:rsidR="007B45EB" w:rsidRPr="00A127C6" w:rsidRDefault="007B45EB" w:rsidP="007B45EB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7B45EB" w:rsidRPr="007B45EB" w:rsidRDefault="006E05A3" w:rsidP="007B45EB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713D71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如何实现</w:t>
            </w:r>
            <w:r w:rsidR="006D2F25">
              <w:rPr>
                <w:rFonts w:hAnsi="宋体" w:hint="eastAsia"/>
                <w:bCs/>
                <w:iCs/>
                <w:sz w:val="24"/>
                <w:szCs w:val="24"/>
              </w:rPr>
              <w:t>20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16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年环保业务</w:t>
            </w:r>
            <w:r w:rsidR="006D2F25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7B45EB" w:rsidRPr="007B45EB">
              <w:rPr>
                <w:rFonts w:hAnsi="宋体" w:hint="eastAsia"/>
                <w:bCs/>
                <w:iCs/>
                <w:sz w:val="24"/>
                <w:szCs w:val="24"/>
              </w:rPr>
              <w:t>目标</w:t>
            </w:r>
            <w:r w:rsidR="006D2F25">
              <w:rPr>
                <w:rFonts w:hAnsi="宋体" w:hint="eastAsia"/>
                <w:bCs/>
                <w:iCs/>
                <w:sz w:val="24"/>
                <w:szCs w:val="24"/>
              </w:rPr>
              <w:t>？</w:t>
            </w:r>
          </w:p>
          <w:p w:rsidR="006D2F25" w:rsidRDefault="006D2F25" w:rsidP="007B45EB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答：公司环保业务主要包括两部分：</w:t>
            </w:r>
          </w:p>
          <w:p w:rsidR="006D2F25" w:rsidRPr="00943752" w:rsidRDefault="00943752" w:rsidP="00943752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）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石油石化</w:t>
            </w:r>
            <w:r w:rsidR="006D2F25" w:rsidRPr="00943752">
              <w:rPr>
                <w:rFonts w:hAnsi="宋体" w:hint="eastAsia"/>
                <w:bCs/>
                <w:iCs/>
                <w:sz w:val="24"/>
                <w:szCs w:val="24"/>
              </w:rPr>
              <w:t>环保业务：</w:t>
            </w:r>
            <w:r w:rsidRPr="00FE1855">
              <w:rPr>
                <w:rFonts w:hAnsi="宋体" w:hint="eastAsia"/>
                <w:bCs/>
                <w:iCs/>
                <w:sz w:val="24"/>
                <w:szCs w:val="24"/>
              </w:rPr>
              <w:t>主要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是</w:t>
            </w:r>
            <w:r w:rsidRPr="00FE1855">
              <w:rPr>
                <w:rFonts w:hAnsi="宋体" w:hint="eastAsia"/>
                <w:bCs/>
                <w:iCs/>
                <w:sz w:val="24"/>
                <w:szCs w:val="24"/>
              </w:rPr>
              <w:t>为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三大石油公司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提供含油污泥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处理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、污水处理和</w:t>
            </w:r>
            <w:r w:rsidRPr="00FE1855">
              <w:rPr>
                <w:rFonts w:hAnsi="宋体" w:hint="eastAsia"/>
                <w:bCs/>
                <w:iCs/>
                <w:sz w:val="24"/>
                <w:szCs w:val="24"/>
              </w:rPr>
              <w:t>大罐清洗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服务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等</w:t>
            </w:r>
            <w:r w:rsidRPr="00FE1855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在十年前已进入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该领域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，在大庆、长庆等大油田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都有较好的业绩，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="00BF0E8C">
              <w:rPr>
                <w:rFonts w:hAnsi="宋体" w:hint="eastAsia"/>
                <w:bCs/>
                <w:iCs/>
                <w:sz w:val="24"/>
                <w:szCs w:val="24"/>
              </w:rPr>
              <w:t>在国内处于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领先地位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B553D3">
              <w:rPr>
                <w:rFonts w:hAnsi="宋体" w:hint="eastAsia"/>
                <w:bCs/>
                <w:iCs/>
                <w:sz w:val="24"/>
                <w:szCs w:val="24"/>
              </w:rPr>
              <w:t>同时，由于</w:t>
            </w:r>
            <w:proofErr w:type="gramStart"/>
            <w:r w:rsidRPr="00FE1855">
              <w:rPr>
                <w:rFonts w:hAnsi="宋体" w:hint="eastAsia"/>
                <w:bCs/>
                <w:iCs/>
                <w:sz w:val="24"/>
                <w:szCs w:val="24"/>
              </w:rPr>
              <w:t>环保法越来</w:t>
            </w:r>
            <w:proofErr w:type="gramEnd"/>
            <w:r w:rsidRPr="00FE1855">
              <w:rPr>
                <w:rFonts w:hAnsi="宋体" w:hint="eastAsia"/>
                <w:bCs/>
                <w:iCs/>
                <w:sz w:val="24"/>
                <w:szCs w:val="24"/>
              </w:rPr>
              <w:t>严格，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石油石化企业的环保投资有增无减，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尤其在石油石化炼化的老化油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、渣油、稠油等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处理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方面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，有迫切处理的需求，</w:t>
            </w:r>
            <w:r w:rsidR="006C77C4">
              <w:rPr>
                <w:rFonts w:hAnsi="宋体" w:hint="eastAsia"/>
                <w:bCs/>
                <w:iCs/>
                <w:sz w:val="24"/>
                <w:szCs w:val="24"/>
              </w:rPr>
              <w:t>2016</w:t>
            </w:r>
            <w:r w:rsidR="006C77C4"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 w:rsidR="007B45EB" w:rsidRPr="00943752">
              <w:rPr>
                <w:rFonts w:hAnsi="宋体" w:hint="eastAsia"/>
                <w:bCs/>
                <w:iCs/>
                <w:sz w:val="24"/>
                <w:szCs w:val="24"/>
              </w:rPr>
              <w:t>会有突破性的发展。</w:t>
            </w:r>
          </w:p>
          <w:p w:rsidR="00776579" w:rsidRDefault="006D2F25" w:rsidP="007B45EB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6D2F25">
              <w:rPr>
                <w:rFonts w:hAnsi="宋体" w:hint="eastAsia"/>
                <w:bCs/>
                <w:iCs/>
                <w:sz w:val="24"/>
                <w:szCs w:val="24"/>
              </w:rPr>
              <w:t>（</w:t>
            </w:r>
            <w:r w:rsidRPr="006D2F25"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Pr="006D2F25">
              <w:rPr>
                <w:rFonts w:hAnsi="宋体" w:hint="eastAsia"/>
                <w:bCs/>
                <w:iCs/>
                <w:sz w:val="24"/>
                <w:szCs w:val="24"/>
              </w:rPr>
              <w:t>）</w:t>
            </w:r>
            <w:r w:rsidR="007B45EB" w:rsidRPr="006D2F25">
              <w:rPr>
                <w:rFonts w:hAnsi="宋体" w:hint="eastAsia"/>
                <w:bCs/>
                <w:iCs/>
                <w:sz w:val="24"/>
                <w:szCs w:val="24"/>
              </w:rPr>
              <w:t>通用环保业务：</w:t>
            </w:r>
            <w:r w:rsidR="00713D71" w:rsidRPr="00FE1855">
              <w:rPr>
                <w:rFonts w:hAnsi="宋体" w:hint="eastAsia"/>
                <w:bCs/>
                <w:iCs/>
                <w:sz w:val="24"/>
                <w:szCs w:val="24"/>
              </w:rPr>
              <w:t>如重金属处理，河流领域的治理</w:t>
            </w:r>
            <w:r w:rsidR="00713D71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7B45EB" w:rsidRPr="006D2F25">
              <w:rPr>
                <w:rFonts w:hAnsi="宋体" w:hint="eastAsia"/>
                <w:bCs/>
                <w:iCs/>
                <w:sz w:val="24"/>
                <w:szCs w:val="24"/>
              </w:rPr>
              <w:t>生物废弃物的综合利用</w:t>
            </w:r>
            <w:r w:rsidR="00776579">
              <w:rPr>
                <w:rFonts w:hAnsi="宋体" w:hint="eastAsia"/>
                <w:bCs/>
                <w:iCs/>
                <w:sz w:val="24"/>
                <w:szCs w:val="24"/>
              </w:rPr>
              <w:t>，市政垃圾、污水处理等</w:t>
            </w:r>
            <w:r w:rsidR="007B45EB" w:rsidRPr="006D2F25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776579"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="007B45EB" w:rsidRPr="006D2F25">
              <w:rPr>
                <w:rFonts w:hAnsi="宋体" w:hint="eastAsia"/>
                <w:bCs/>
                <w:iCs/>
                <w:sz w:val="24"/>
                <w:szCs w:val="24"/>
              </w:rPr>
              <w:t>在河北、</w:t>
            </w:r>
            <w:r w:rsidR="00776579" w:rsidRPr="006D2F25">
              <w:rPr>
                <w:rFonts w:hAnsi="宋体" w:hint="eastAsia"/>
                <w:bCs/>
                <w:iCs/>
                <w:sz w:val="24"/>
                <w:szCs w:val="24"/>
              </w:rPr>
              <w:t>河南</w:t>
            </w:r>
            <w:r w:rsidR="00776579">
              <w:rPr>
                <w:rFonts w:hAnsi="宋体" w:hint="eastAsia"/>
                <w:bCs/>
                <w:iCs/>
                <w:sz w:val="24"/>
                <w:szCs w:val="24"/>
              </w:rPr>
              <w:t>、湖北、四川</w:t>
            </w:r>
            <w:r w:rsidR="005D6C2A">
              <w:rPr>
                <w:rFonts w:hAnsi="宋体" w:hint="eastAsia"/>
                <w:bCs/>
                <w:iCs/>
                <w:sz w:val="24"/>
                <w:szCs w:val="24"/>
              </w:rPr>
              <w:t>等有多个项目在跟踪。</w:t>
            </w:r>
            <w:r w:rsidR="00776579">
              <w:rPr>
                <w:rFonts w:hAnsi="宋体" w:hint="eastAsia"/>
                <w:bCs/>
                <w:iCs/>
                <w:sz w:val="24"/>
                <w:szCs w:val="24"/>
              </w:rPr>
              <w:t>公司具有资源整合能力，在能源技术创新、服务</w:t>
            </w:r>
            <w:r w:rsidR="00F81BF5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776579">
              <w:rPr>
                <w:rFonts w:hAnsi="宋体" w:hint="eastAsia"/>
                <w:bCs/>
                <w:iCs/>
                <w:sz w:val="24"/>
                <w:szCs w:val="24"/>
              </w:rPr>
              <w:t>基础上，</w:t>
            </w:r>
            <w:r w:rsidR="00F81BF5">
              <w:rPr>
                <w:rFonts w:hAnsi="宋体" w:hint="eastAsia"/>
                <w:bCs/>
                <w:iCs/>
                <w:sz w:val="24"/>
                <w:szCs w:val="24"/>
              </w:rPr>
              <w:t>根据</w:t>
            </w:r>
            <w:r w:rsidR="00776579">
              <w:rPr>
                <w:rFonts w:hAnsi="宋体" w:hint="eastAsia"/>
                <w:bCs/>
                <w:iCs/>
                <w:sz w:val="24"/>
                <w:szCs w:val="24"/>
              </w:rPr>
              <w:t>未来战略规划向通用领域扩</w:t>
            </w:r>
            <w:r w:rsidR="00F81BF5">
              <w:rPr>
                <w:rFonts w:hAnsi="宋体" w:hint="eastAsia"/>
                <w:bCs/>
                <w:iCs/>
                <w:sz w:val="24"/>
                <w:szCs w:val="24"/>
              </w:rPr>
              <w:t>展，</w:t>
            </w:r>
            <w:r w:rsidR="005D6C2A">
              <w:rPr>
                <w:rFonts w:hAnsi="宋体" w:hint="eastAsia"/>
                <w:bCs/>
                <w:iCs/>
                <w:sz w:val="24"/>
                <w:szCs w:val="24"/>
              </w:rPr>
              <w:t>长期布局，中短期相结合，</w:t>
            </w:r>
            <w:r w:rsidR="005D6C2A" w:rsidRPr="006D2F25">
              <w:rPr>
                <w:rFonts w:hAnsi="宋体" w:hint="eastAsia"/>
                <w:bCs/>
                <w:iCs/>
                <w:sz w:val="24"/>
                <w:szCs w:val="24"/>
              </w:rPr>
              <w:t>打造独立</w:t>
            </w:r>
            <w:r w:rsidR="005D6C2A">
              <w:rPr>
                <w:rFonts w:hAnsi="宋体" w:hint="eastAsia"/>
                <w:bCs/>
                <w:iCs/>
                <w:sz w:val="24"/>
                <w:szCs w:val="24"/>
              </w:rPr>
              <w:t>的环保</w:t>
            </w:r>
            <w:r w:rsidR="005D6C2A" w:rsidRPr="006D2F25">
              <w:rPr>
                <w:rFonts w:hAnsi="宋体" w:hint="eastAsia"/>
                <w:bCs/>
                <w:iCs/>
                <w:sz w:val="24"/>
                <w:szCs w:val="24"/>
              </w:rPr>
              <w:t>业务。</w:t>
            </w:r>
          </w:p>
          <w:p w:rsidR="007B45EB" w:rsidRPr="00891DBB" w:rsidRDefault="007B45EB" w:rsidP="007B45EB"/>
          <w:p w:rsidR="00DC53F1" w:rsidRPr="007B45EB" w:rsidRDefault="006E05A3" w:rsidP="00DC53F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4</w:t>
            </w:r>
            <w:r w:rsidR="00DC53F1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DC53F1" w:rsidRPr="007B45EB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DC53F1">
              <w:rPr>
                <w:rFonts w:hAnsi="宋体" w:hint="eastAsia"/>
                <w:bCs/>
                <w:iCs/>
                <w:sz w:val="24"/>
                <w:szCs w:val="24"/>
              </w:rPr>
              <w:t>目前是否有资金压力？</w:t>
            </w:r>
          </w:p>
          <w:p w:rsidR="007B45EB" w:rsidRPr="0046669A" w:rsidRDefault="00DC53F1" w:rsidP="00DD1C56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答：海外大项目是</w:t>
            </w:r>
            <w:r w:rsidR="0046669A">
              <w:rPr>
                <w:rFonts w:hAnsi="宋体" w:hint="eastAsia"/>
                <w:bCs/>
                <w:iCs/>
                <w:sz w:val="24"/>
                <w:szCs w:val="24"/>
              </w:rPr>
              <w:t>按照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工程进度付款，因此基本</w:t>
            </w:r>
            <w:r w:rsidR="0046669A">
              <w:rPr>
                <w:rFonts w:hAnsi="宋体" w:hint="eastAsia"/>
                <w:bCs/>
                <w:iCs/>
                <w:sz w:val="24"/>
                <w:szCs w:val="24"/>
              </w:rPr>
              <w:t>上</w:t>
            </w:r>
            <w:r w:rsidRPr="007B45EB">
              <w:rPr>
                <w:rFonts w:hAnsi="宋体" w:hint="eastAsia"/>
                <w:bCs/>
                <w:iCs/>
                <w:sz w:val="24"/>
                <w:szCs w:val="24"/>
              </w:rPr>
              <w:t>没有资金压力。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但随着项目数量</w:t>
            </w:r>
            <w:r w:rsidR="0046669A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增加，以及公司的</w:t>
            </w:r>
            <w:r w:rsidR="0046669A">
              <w:rPr>
                <w:rFonts w:hAnsi="宋体" w:hint="eastAsia"/>
                <w:bCs/>
                <w:iCs/>
                <w:sz w:val="24"/>
                <w:szCs w:val="24"/>
              </w:rPr>
              <w:t>收购投资</w:t>
            </w:r>
            <w:r w:rsidR="00F83DDE">
              <w:rPr>
                <w:rFonts w:hAnsi="宋体" w:hint="eastAsia"/>
                <w:bCs/>
                <w:iCs/>
                <w:sz w:val="24"/>
                <w:szCs w:val="24"/>
              </w:rPr>
              <w:t>等</w:t>
            </w:r>
            <w:r w:rsidRPr="007B45EB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46669A">
              <w:rPr>
                <w:rFonts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会考虑股权融资等计划</w:t>
            </w:r>
            <w:r w:rsidRPr="007B45EB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5870F6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6D0FAA" w:rsidP="008F67B2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8F67B2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9F" w:rsidRDefault="00CA079F" w:rsidP="00880143">
      <w:r>
        <w:separator/>
      </w:r>
    </w:p>
  </w:endnote>
  <w:endnote w:type="continuationSeparator" w:id="0">
    <w:p w:rsidR="00CA079F" w:rsidRDefault="00CA079F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9F" w:rsidRDefault="00CA079F" w:rsidP="00880143">
      <w:r>
        <w:separator/>
      </w:r>
    </w:p>
  </w:footnote>
  <w:footnote w:type="continuationSeparator" w:id="0">
    <w:p w:rsidR="00CA079F" w:rsidRDefault="00CA079F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461"/>
    <w:multiLevelType w:val="hybridMultilevel"/>
    <w:tmpl w:val="E8441720"/>
    <w:lvl w:ilvl="0" w:tplc="4AA2A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7F4BC1"/>
    <w:multiLevelType w:val="hybridMultilevel"/>
    <w:tmpl w:val="939C5128"/>
    <w:lvl w:ilvl="0" w:tplc="A1C6AE1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312F2"/>
    <w:multiLevelType w:val="hybridMultilevel"/>
    <w:tmpl w:val="8E7A6458"/>
    <w:lvl w:ilvl="0" w:tplc="436036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BC7554"/>
    <w:multiLevelType w:val="hybridMultilevel"/>
    <w:tmpl w:val="BD363E94"/>
    <w:lvl w:ilvl="0" w:tplc="BD32D2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8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1220B"/>
    <w:rsid w:val="00016EB1"/>
    <w:rsid w:val="0002063F"/>
    <w:rsid w:val="000238CE"/>
    <w:rsid w:val="0003530D"/>
    <w:rsid w:val="00040628"/>
    <w:rsid w:val="0004493A"/>
    <w:rsid w:val="0004551D"/>
    <w:rsid w:val="00045DB1"/>
    <w:rsid w:val="00050EA5"/>
    <w:rsid w:val="000579A8"/>
    <w:rsid w:val="00060001"/>
    <w:rsid w:val="00060D07"/>
    <w:rsid w:val="00062B4B"/>
    <w:rsid w:val="000641D9"/>
    <w:rsid w:val="00065451"/>
    <w:rsid w:val="0006573E"/>
    <w:rsid w:val="00070B3E"/>
    <w:rsid w:val="00070D8D"/>
    <w:rsid w:val="000715BD"/>
    <w:rsid w:val="00072BBC"/>
    <w:rsid w:val="00073D04"/>
    <w:rsid w:val="000758C1"/>
    <w:rsid w:val="000759E3"/>
    <w:rsid w:val="00075E4D"/>
    <w:rsid w:val="00077373"/>
    <w:rsid w:val="00082A50"/>
    <w:rsid w:val="0008470B"/>
    <w:rsid w:val="000848D0"/>
    <w:rsid w:val="00092851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C7E1E"/>
    <w:rsid w:val="000D05AA"/>
    <w:rsid w:val="000D0746"/>
    <w:rsid w:val="000D09FD"/>
    <w:rsid w:val="000D24B2"/>
    <w:rsid w:val="000D40F3"/>
    <w:rsid w:val="000D617E"/>
    <w:rsid w:val="000E18FE"/>
    <w:rsid w:val="000F16A1"/>
    <w:rsid w:val="000F63DE"/>
    <w:rsid w:val="00106598"/>
    <w:rsid w:val="001077C0"/>
    <w:rsid w:val="001079D2"/>
    <w:rsid w:val="00107C16"/>
    <w:rsid w:val="00107FB7"/>
    <w:rsid w:val="00111557"/>
    <w:rsid w:val="00111B4D"/>
    <w:rsid w:val="0011445D"/>
    <w:rsid w:val="001163BA"/>
    <w:rsid w:val="001202B1"/>
    <w:rsid w:val="00121FCD"/>
    <w:rsid w:val="00127EEA"/>
    <w:rsid w:val="00131739"/>
    <w:rsid w:val="00132652"/>
    <w:rsid w:val="0013355E"/>
    <w:rsid w:val="00133EA3"/>
    <w:rsid w:val="00135CB9"/>
    <w:rsid w:val="001365E1"/>
    <w:rsid w:val="00140EAC"/>
    <w:rsid w:val="0014664F"/>
    <w:rsid w:val="00146B8E"/>
    <w:rsid w:val="00153BCB"/>
    <w:rsid w:val="001564D1"/>
    <w:rsid w:val="00162463"/>
    <w:rsid w:val="00167BA2"/>
    <w:rsid w:val="00182B1F"/>
    <w:rsid w:val="00187B88"/>
    <w:rsid w:val="00191BA0"/>
    <w:rsid w:val="0019451F"/>
    <w:rsid w:val="0019551B"/>
    <w:rsid w:val="00196690"/>
    <w:rsid w:val="001A1852"/>
    <w:rsid w:val="001A244D"/>
    <w:rsid w:val="001A28F6"/>
    <w:rsid w:val="001A4E87"/>
    <w:rsid w:val="001A55EA"/>
    <w:rsid w:val="001A5722"/>
    <w:rsid w:val="001A7BF9"/>
    <w:rsid w:val="001B309B"/>
    <w:rsid w:val="001B6A95"/>
    <w:rsid w:val="001C054C"/>
    <w:rsid w:val="001C55EF"/>
    <w:rsid w:val="001C59D8"/>
    <w:rsid w:val="001C6C28"/>
    <w:rsid w:val="001D0288"/>
    <w:rsid w:val="001D400F"/>
    <w:rsid w:val="001D7E9C"/>
    <w:rsid w:val="001E2420"/>
    <w:rsid w:val="001E6572"/>
    <w:rsid w:val="001F65DC"/>
    <w:rsid w:val="00201AB3"/>
    <w:rsid w:val="00203C12"/>
    <w:rsid w:val="00206D8B"/>
    <w:rsid w:val="00210E43"/>
    <w:rsid w:val="00216E3D"/>
    <w:rsid w:val="00222423"/>
    <w:rsid w:val="00224674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610D5"/>
    <w:rsid w:val="002675C8"/>
    <w:rsid w:val="00274FA9"/>
    <w:rsid w:val="002750C1"/>
    <w:rsid w:val="0027515C"/>
    <w:rsid w:val="00275BAA"/>
    <w:rsid w:val="0027657C"/>
    <w:rsid w:val="00277A5C"/>
    <w:rsid w:val="0028016E"/>
    <w:rsid w:val="00282914"/>
    <w:rsid w:val="00282F14"/>
    <w:rsid w:val="00287925"/>
    <w:rsid w:val="002909F7"/>
    <w:rsid w:val="00292087"/>
    <w:rsid w:val="002946CC"/>
    <w:rsid w:val="002A15AD"/>
    <w:rsid w:val="002A41B1"/>
    <w:rsid w:val="002A61B7"/>
    <w:rsid w:val="002B49C8"/>
    <w:rsid w:val="002B4CF6"/>
    <w:rsid w:val="002B53A7"/>
    <w:rsid w:val="002B5A35"/>
    <w:rsid w:val="002B6B2D"/>
    <w:rsid w:val="002C0E08"/>
    <w:rsid w:val="002C7575"/>
    <w:rsid w:val="002D46E6"/>
    <w:rsid w:val="002D5B9F"/>
    <w:rsid w:val="002E63F0"/>
    <w:rsid w:val="002F05CA"/>
    <w:rsid w:val="002F5586"/>
    <w:rsid w:val="002F5E71"/>
    <w:rsid w:val="002F608F"/>
    <w:rsid w:val="002F63C7"/>
    <w:rsid w:val="003044B7"/>
    <w:rsid w:val="00305883"/>
    <w:rsid w:val="00305DCD"/>
    <w:rsid w:val="0030662C"/>
    <w:rsid w:val="003111FA"/>
    <w:rsid w:val="00311AE1"/>
    <w:rsid w:val="00312787"/>
    <w:rsid w:val="0031400E"/>
    <w:rsid w:val="00315253"/>
    <w:rsid w:val="0032053A"/>
    <w:rsid w:val="003215C1"/>
    <w:rsid w:val="00324423"/>
    <w:rsid w:val="003247F0"/>
    <w:rsid w:val="003269E1"/>
    <w:rsid w:val="003319A6"/>
    <w:rsid w:val="003326C3"/>
    <w:rsid w:val="003337C3"/>
    <w:rsid w:val="00334E21"/>
    <w:rsid w:val="003378AC"/>
    <w:rsid w:val="00337C22"/>
    <w:rsid w:val="0034394F"/>
    <w:rsid w:val="003554B3"/>
    <w:rsid w:val="00355526"/>
    <w:rsid w:val="003556AA"/>
    <w:rsid w:val="00356A77"/>
    <w:rsid w:val="00360CFC"/>
    <w:rsid w:val="00361410"/>
    <w:rsid w:val="00363E63"/>
    <w:rsid w:val="0036723F"/>
    <w:rsid w:val="0037642A"/>
    <w:rsid w:val="00383FC9"/>
    <w:rsid w:val="00386260"/>
    <w:rsid w:val="0039047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12DB"/>
    <w:rsid w:val="003F2616"/>
    <w:rsid w:val="003F3C63"/>
    <w:rsid w:val="003F49DE"/>
    <w:rsid w:val="003F6439"/>
    <w:rsid w:val="0040062E"/>
    <w:rsid w:val="00402B6E"/>
    <w:rsid w:val="004046FF"/>
    <w:rsid w:val="00405676"/>
    <w:rsid w:val="004101C4"/>
    <w:rsid w:val="004127F9"/>
    <w:rsid w:val="00413F5C"/>
    <w:rsid w:val="00413FE2"/>
    <w:rsid w:val="00420D5E"/>
    <w:rsid w:val="00421275"/>
    <w:rsid w:val="004223E9"/>
    <w:rsid w:val="004251B1"/>
    <w:rsid w:val="00427CD5"/>
    <w:rsid w:val="004305BF"/>
    <w:rsid w:val="00430875"/>
    <w:rsid w:val="0043459A"/>
    <w:rsid w:val="004402CE"/>
    <w:rsid w:val="004413DE"/>
    <w:rsid w:val="00441CAF"/>
    <w:rsid w:val="004445E4"/>
    <w:rsid w:val="00446360"/>
    <w:rsid w:val="0045145B"/>
    <w:rsid w:val="00452AE4"/>
    <w:rsid w:val="00453516"/>
    <w:rsid w:val="00453D85"/>
    <w:rsid w:val="00454ECD"/>
    <w:rsid w:val="00460D09"/>
    <w:rsid w:val="00464858"/>
    <w:rsid w:val="0046669A"/>
    <w:rsid w:val="00472FCD"/>
    <w:rsid w:val="004734B6"/>
    <w:rsid w:val="00474151"/>
    <w:rsid w:val="00475946"/>
    <w:rsid w:val="00476DAE"/>
    <w:rsid w:val="00480A77"/>
    <w:rsid w:val="004815BB"/>
    <w:rsid w:val="00482455"/>
    <w:rsid w:val="00484D77"/>
    <w:rsid w:val="00485931"/>
    <w:rsid w:val="00493D93"/>
    <w:rsid w:val="00497F3C"/>
    <w:rsid w:val="004A036B"/>
    <w:rsid w:val="004A46E3"/>
    <w:rsid w:val="004A4867"/>
    <w:rsid w:val="004A7EF9"/>
    <w:rsid w:val="004B0BC2"/>
    <w:rsid w:val="004B5AC0"/>
    <w:rsid w:val="004B5DCE"/>
    <w:rsid w:val="004B7058"/>
    <w:rsid w:val="004B7409"/>
    <w:rsid w:val="004C06CF"/>
    <w:rsid w:val="004C1AEE"/>
    <w:rsid w:val="004C41F9"/>
    <w:rsid w:val="004C74A6"/>
    <w:rsid w:val="004D0E81"/>
    <w:rsid w:val="004E0F2E"/>
    <w:rsid w:val="004E5E80"/>
    <w:rsid w:val="004E60D5"/>
    <w:rsid w:val="004E6F15"/>
    <w:rsid w:val="004E7F07"/>
    <w:rsid w:val="004F157D"/>
    <w:rsid w:val="004F61F0"/>
    <w:rsid w:val="00501BE8"/>
    <w:rsid w:val="00512667"/>
    <w:rsid w:val="00513433"/>
    <w:rsid w:val="00523656"/>
    <w:rsid w:val="0052439D"/>
    <w:rsid w:val="00535BCC"/>
    <w:rsid w:val="00535D07"/>
    <w:rsid w:val="005403DA"/>
    <w:rsid w:val="00541531"/>
    <w:rsid w:val="00541A9E"/>
    <w:rsid w:val="00551046"/>
    <w:rsid w:val="00552247"/>
    <w:rsid w:val="00554601"/>
    <w:rsid w:val="005548E9"/>
    <w:rsid w:val="00556A22"/>
    <w:rsid w:val="00556A9C"/>
    <w:rsid w:val="00562C04"/>
    <w:rsid w:val="00563B13"/>
    <w:rsid w:val="005711F9"/>
    <w:rsid w:val="00580AAE"/>
    <w:rsid w:val="00585B70"/>
    <w:rsid w:val="005870F6"/>
    <w:rsid w:val="00587E4E"/>
    <w:rsid w:val="00590129"/>
    <w:rsid w:val="0059357B"/>
    <w:rsid w:val="0059543D"/>
    <w:rsid w:val="00597DE4"/>
    <w:rsid w:val="005A2859"/>
    <w:rsid w:val="005A2DEE"/>
    <w:rsid w:val="005A366A"/>
    <w:rsid w:val="005A3BD2"/>
    <w:rsid w:val="005A4281"/>
    <w:rsid w:val="005A7E38"/>
    <w:rsid w:val="005A7FBF"/>
    <w:rsid w:val="005B1250"/>
    <w:rsid w:val="005B37D3"/>
    <w:rsid w:val="005B6213"/>
    <w:rsid w:val="005B711B"/>
    <w:rsid w:val="005C1EF3"/>
    <w:rsid w:val="005C6749"/>
    <w:rsid w:val="005C7E91"/>
    <w:rsid w:val="005D55C0"/>
    <w:rsid w:val="005D5A9C"/>
    <w:rsid w:val="005D6C2A"/>
    <w:rsid w:val="005E02B5"/>
    <w:rsid w:val="005E4A43"/>
    <w:rsid w:val="005F1D93"/>
    <w:rsid w:val="005F26AA"/>
    <w:rsid w:val="005F2BDC"/>
    <w:rsid w:val="005F3E97"/>
    <w:rsid w:val="005F3F78"/>
    <w:rsid w:val="005F4A14"/>
    <w:rsid w:val="00610BB7"/>
    <w:rsid w:val="006120DE"/>
    <w:rsid w:val="0061704C"/>
    <w:rsid w:val="006229A5"/>
    <w:rsid w:val="00623A9F"/>
    <w:rsid w:val="00623BB3"/>
    <w:rsid w:val="00623E86"/>
    <w:rsid w:val="006258A4"/>
    <w:rsid w:val="0062789B"/>
    <w:rsid w:val="00627EC1"/>
    <w:rsid w:val="00630FD5"/>
    <w:rsid w:val="0063345F"/>
    <w:rsid w:val="00644631"/>
    <w:rsid w:val="0064501A"/>
    <w:rsid w:val="00652612"/>
    <w:rsid w:val="00661F30"/>
    <w:rsid w:val="006740B8"/>
    <w:rsid w:val="00674600"/>
    <w:rsid w:val="00676543"/>
    <w:rsid w:val="006778B4"/>
    <w:rsid w:val="006778BF"/>
    <w:rsid w:val="006802D7"/>
    <w:rsid w:val="00682F75"/>
    <w:rsid w:val="00685DB9"/>
    <w:rsid w:val="0069664C"/>
    <w:rsid w:val="00696A16"/>
    <w:rsid w:val="006B05A1"/>
    <w:rsid w:val="006B1864"/>
    <w:rsid w:val="006B3E5C"/>
    <w:rsid w:val="006B440F"/>
    <w:rsid w:val="006B4D90"/>
    <w:rsid w:val="006B7099"/>
    <w:rsid w:val="006C080D"/>
    <w:rsid w:val="006C2100"/>
    <w:rsid w:val="006C6DA1"/>
    <w:rsid w:val="006C77C4"/>
    <w:rsid w:val="006D021E"/>
    <w:rsid w:val="006D0FAA"/>
    <w:rsid w:val="006D2F25"/>
    <w:rsid w:val="006D3DC3"/>
    <w:rsid w:val="006E05A3"/>
    <w:rsid w:val="006E1351"/>
    <w:rsid w:val="006E3DB5"/>
    <w:rsid w:val="006E4810"/>
    <w:rsid w:val="006F08E7"/>
    <w:rsid w:val="00700A75"/>
    <w:rsid w:val="00706E02"/>
    <w:rsid w:val="00707067"/>
    <w:rsid w:val="00710182"/>
    <w:rsid w:val="00710B76"/>
    <w:rsid w:val="00713B60"/>
    <w:rsid w:val="00713D71"/>
    <w:rsid w:val="00714E72"/>
    <w:rsid w:val="00715D8A"/>
    <w:rsid w:val="00720527"/>
    <w:rsid w:val="0072624C"/>
    <w:rsid w:val="00730523"/>
    <w:rsid w:val="00731D32"/>
    <w:rsid w:val="00742364"/>
    <w:rsid w:val="0074466A"/>
    <w:rsid w:val="0074607C"/>
    <w:rsid w:val="00747572"/>
    <w:rsid w:val="007534CA"/>
    <w:rsid w:val="0075453C"/>
    <w:rsid w:val="00761B9A"/>
    <w:rsid w:val="00762962"/>
    <w:rsid w:val="00764B85"/>
    <w:rsid w:val="007660B2"/>
    <w:rsid w:val="0077175A"/>
    <w:rsid w:val="007724CE"/>
    <w:rsid w:val="007746D1"/>
    <w:rsid w:val="00776579"/>
    <w:rsid w:val="0078254A"/>
    <w:rsid w:val="00784D13"/>
    <w:rsid w:val="00786192"/>
    <w:rsid w:val="00786D5E"/>
    <w:rsid w:val="007918F9"/>
    <w:rsid w:val="00792661"/>
    <w:rsid w:val="007A5F23"/>
    <w:rsid w:val="007B45EB"/>
    <w:rsid w:val="007B69AD"/>
    <w:rsid w:val="007B6B95"/>
    <w:rsid w:val="007C011C"/>
    <w:rsid w:val="007D08DB"/>
    <w:rsid w:val="007D6595"/>
    <w:rsid w:val="007E07F4"/>
    <w:rsid w:val="007E240E"/>
    <w:rsid w:val="007E2D06"/>
    <w:rsid w:val="007E44AB"/>
    <w:rsid w:val="007E4AFD"/>
    <w:rsid w:val="007E7561"/>
    <w:rsid w:val="007F5CBE"/>
    <w:rsid w:val="008005F5"/>
    <w:rsid w:val="00801154"/>
    <w:rsid w:val="008021CD"/>
    <w:rsid w:val="008029DC"/>
    <w:rsid w:val="0080453F"/>
    <w:rsid w:val="008203B4"/>
    <w:rsid w:val="00820442"/>
    <w:rsid w:val="0083505F"/>
    <w:rsid w:val="00835472"/>
    <w:rsid w:val="008407CC"/>
    <w:rsid w:val="008418B0"/>
    <w:rsid w:val="00845178"/>
    <w:rsid w:val="008503EF"/>
    <w:rsid w:val="0086035C"/>
    <w:rsid w:val="00863561"/>
    <w:rsid w:val="00863A93"/>
    <w:rsid w:val="0086766C"/>
    <w:rsid w:val="00871ECA"/>
    <w:rsid w:val="00873220"/>
    <w:rsid w:val="00876666"/>
    <w:rsid w:val="00880143"/>
    <w:rsid w:val="008809F7"/>
    <w:rsid w:val="00881B53"/>
    <w:rsid w:val="0088248E"/>
    <w:rsid w:val="008834B0"/>
    <w:rsid w:val="00886843"/>
    <w:rsid w:val="00886871"/>
    <w:rsid w:val="00887A28"/>
    <w:rsid w:val="00891FFC"/>
    <w:rsid w:val="00896C9D"/>
    <w:rsid w:val="008A3F31"/>
    <w:rsid w:val="008B0ED1"/>
    <w:rsid w:val="008B3B39"/>
    <w:rsid w:val="008B3F77"/>
    <w:rsid w:val="008B43CA"/>
    <w:rsid w:val="008C0140"/>
    <w:rsid w:val="008C4783"/>
    <w:rsid w:val="008C5765"/>
    <w:rsid w:val="008C5A0A"/>
    <w:rsid w:val="008D113B"/>
    <w:rsid w:val="008E749C"/>
    <w:rsid w:val="008F5233"/>
    <w:rsid w:val="008F67B2"/>
    <w:rsid w:val="008F75EF"/>
    <w:rsid w:val="00901F00"/>
    <w:rsid w:val="0090291D"/>
    <w:rsid w:val="00907797"/>
    <w:rsid w:val="00910335"/>
    <w:rsid w:val="00910FEF"/>
    <w:rsid w:val="00911026"/>
    <w:rsid w:val="00912C15"/>
    <w:rsid w:val="00914D66"/>
    <w:rsid w:val="0092018C"/>
    <w:rsid w:val="00920518"/>
    <w:rsid w:val="00932798"/>
    <w:rsid w:val="009347C8"/>
    <w:rsid w:val="00935CFB"/>
    <w:rsid w:val="0093683B"/>
    <w:rsid w:val="00943752"/>
    <w:rsid w:val="00944B15"/>
    <w:rsid w:val="00945255"/>
    <w:rsid w:val="00945DC0"/>
    <w:rsid w:val="009460EF"/>
    <w:rsid w:val="00947625"/>
    <w:rsid w:val="00950C7F"/>
    <w:rsid w:val="00955074"/>
    <w:rsid w:val="00955854"/>
    <w:rsid w:val="009721E9"/>
    <w:rsid w:val="00974639"/>
    <w:rsid w:val="00975248"/>
    <w:rsid w:val="009777B0"/>
    <w:rsid w:val="00984A99"/>
    <w:rsid w:val="00985E4D"/>
    <w:rsid w:val="00992D4A"/>
    <w:rsid w:val="0099677F"/>
    <w:rsid w:val="009A4A98"/>
    <w:rsid w:val="009A6498"/>
    <w:rsid w:val="009A64BB"/>
    <w:rsid w:val="009B0180"/>
    <w:rsid w:val="009B10BE"/>
    <w:rsid w:val="009B118F"/>
    <w:rsid w:val="009B3420"/>
    <w:rsid w:val="009B4E68"/>
    <w:rsid w:val="009B5701"/>
    <w:rsid w:val="009C1661"/>
    <w:rsid w:val="009C3966"/>
    <w:rsid w:val="009C5370"/>
    <w:rsid w:val="009D0826"/>
    <w:rsid w:val="009D107E"/>
    <w:rsid w:val="009D135E"/>
    <w:rsid w:val="009D18F2"/>
    <w:rsid w:val="009D3728"/>
    <w:rsid w:val="009D5A71"/>
    <w:rsid w:val="009D7698"/>
    <w:rsid w:val="009E219A"/>
    <w:rsid w:val="009E2C7B"/>
    <w:rsid w:val="009E354A"/>
    <w:rsid w:val="009E447A"/>
    <w:rsid w:val="009E7ADC"/>
    <w:rsid w:val="009F00E0"/>
    <w:rsid w:val="009F1E69"/>
    <w:rsid w:val="009F5419"/>
    <w:rsid w:val="00A0076A"/>
    <w:rsid w:val="00A03B1F"/>
    <w:rsid w:val="00A0796D"/>
    <w:rsid w:val="00A12103"/>
    <w:rsid w:val="00A127C6"/>
    <w:rsid w:val="00A12EC0"/>
    <w:rsid w:val="00A1320D"/>
    <w:rsid w:val="00A17613"/>
    <w:rsid w:val="00A210E3"/>
    <w:rsid w:val="00A24BD0"/>
    <w:rsid w:val="00A32C30"/>
    <w:rsid w:val="00A3524F"/>
    <w:rsid w:val="00A362B9"/>
    <w:rsid w:val="00A40992"/>
    <w:rsid w:val="00A414D5"/>
    <w:rsid w:val="00A41D05"/>
    <w:rsid w:val="00A50996"/>
    <w:rsid w:val="00A603F0"/>
    <w:rsid w:val="00A606E2"/>
    <w:rsid w:val="00A61C91"/>
    <w:rsid w:val="00A6478B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935"/>
    <w:rsid w:val="00AC0713"/>
    <w:rsid w:val="00AC186B"/>
    <w:rsid w:val="00AC2082"/>
    <w:rsid w:val="00AC20EF"/>
    <w:rsid w:val="00AC2173"/>
    <w:rsid w:val="00AC4078"/>
    <w:rsid w:val="00AC527F"/>
    <w:rsid w:val="00AC66C5"/>
    <w:rsid w:val="00AC6EE9"/>
    <w:rsid w:val="00AD0B21"/>
    <w:rsid w:val="00AD48D6"/>
    <w:rsid w:val="00AD68E1"/>
    <w:rsid w:val="00AE16D4"/>
    <w:rsid w:val="00AE23FA"/>
    <w:rsid w:val="00AE5FB2"/>
    <w:rsid w:val="00B00E3D"/>
    <w:rsid w:val="00B025A5"/>
    <w:rsid w:val="00B035F9"/>
    <w:rsid w:val="00B057EF"/>
    <w:rsid w:val="00B103B1"/>
    <w:rsid w:val="00B114CC"/>
    <w:rsid w:val="00B125F4"/>
    <w:rsid w:val="00B221EA"/>
    <w:rsid w:val="00B23FD1"/>
    <w:rsid w:val="00B26919"/>
    <w:rsid w:val="00B32F45"/>
    <w:rsid w:val="00B335D4"/>
    <w:rsid w:val="00B36B17"/>
    <w:rsid w:val="00B43D91"/>
    <w:rsid w:val="00B44FF8"/>
    <w:rsid w:val="00B553D3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584D"/>
    <w:rsid w:val="00B87A39"/>
    <w:rsid w:val="00B95EDE"/>
    <w:rsid w:val="00B9678C"/>
    <w:rsid w:val="00B97335"/>
    <w:rsid w:val="00B97E96"/>
    <w:rsid w:val="00BA0BC0"/>
    <w:rsid w:val="00BA401D"/>
    <w:rsid w:val="00BA4404"/>
    <w:rsid w:val="00BB0951"/>
    <w:rsid w:val="00BB2505"/>
    <w:rsid w:val="00BB53E4"/>
    <w:rsid w:val="00BB5484"/>
    <w:rsid w:val="00BB67C1"/>
    <w:rsid w:val="00BC26C5"/>
    <w:rsid w:val="00BC48ED"/>
    <w:rsid w:val="00BC5C4C"/>
    <w:rsid w:val="00BC6B2C"/>
    <w:rsid w:val="00BD0C68"/>
    <w:rsid w:val="00BD1AD8"/>
    <w:rsid w:val="00BD33FC"/>
    <w:rsid w:val="00BD5551"/>
    <w:rsid w:val="00BE2A42"/>
    <w:rsid w:val="00BE4097"/>
    <w:rsid w:val="00BE7894"/>
    <w:rsid w:val="00BE7DA1"/>
    <w:rsid w:val="00BE7EB7"/>
    <w:rsid w:val="00BF0E8C"/>
    <w:rsid w:val="00BF11BB"/>
    <w:rsid w:val="00BF4ACC"/>
    <w:rsid w:val="00C03659"/>
    <w:rsid w:val="00C047D7"/>
    <w:rsid w:val="00C05D06"/>
    <w:rsid w:val="00C0603B"/>
    <w:rsid w:val="00C06F0C"/>
    <w:rsid w:val="00C077E2"/>
    <w:rsid w:val="00C111F7"/>
    <w:rsid w:val="00C20D78"/>
    <w:rsid w:val="00C22EBC"/>
    <w:rsid w:val="00C410B6"/>
    <w:rsid w:val="00C41962"/>
    <w:rsid w:val="00C44231"/>
    <w:rsid w:val="00C46AA2"/>
    <w:rsid w:val="00C46D52"/>
    <w:rsid w:val="00C47EB1"/>
    <w:rsid w:val="00C50A3F"/>
    <w:rsid w:val="00C52EDB"/>
    <w:rsid w:val="00C53371"/>
    <w:rsid w:val="00C53823"/>
    <w:rsid w:val="00C55627"/>
    <w:rsid w:val="00C65CDF"/>
    <w:rsid w:val="00C66024"/>
    <w:rsid w:val="00C673DE"/>
    <w:rsid w:val="00C67A25"/>
    <w:rsid w:val="00C723F4"/>
    <w:rsid w:val="00C7301E"/>
    <w:rsid w:val="00C749DE"/>
    <w:rsid w:val="00C805B9"/>
    <w:rsid w:val="00C81B15"/>
    <w:rsid w:val="00C906F6"/>
    <w:rsid w:val="00C92AAF"/>
    <w:rsid w:val="00C951E3"/>
    <w:rsid w:val="00C9616B"/>
    <w:rsid w:val="00C964E6"/>
    <w:rsid w:val="00C96C7F"/>
    <w:rsid w:val="00C97467"/>
    <w:rsid w:val="00C9798E"/>
    <w:rsid w:val="00CA079F"/>
    <w:rsid w:val="00CA1607"/>
    <w:rsid w:val="00CA2167"/>
    <w:rsid w:val="00CA2418"/>
    <w:rsid w:val="00CA69BD"/>
    <w:rsid w:val="00CA7906"/>
    <w:rsid w:val="00CA7ECC"/>
    <w:rsid w:val="00CB0254"/>
    <w:rsid w:val="00CB22A9"/>
    <w:rsid w:val="00CB4CBB"/>
    <w:rsid w:val="00CB7146"/>
    <w:rsid w:val="00CC1C91"/>
    <w:rsid w:val="00CC511C"/>
    <w:rsid w:val="00CD0744"/>
    <w:rsid w:val="00CD5182"/>
    <w:rsid w:val="00CD6BA8"/>
    <w:rsid w:val="00CF19FA"/>
    <w:rsid w:val="00CF4332"/>
    <w:rsid w:val="00CF5943"/>
    <w:rsid w:val="00CF5A5F"/>
    <w:rsid w:val="00CF603E"/>
    <w:rsid w:val="00CF7483"/>
    <w:rsid w:val="00D0033E"/>
    <w:rsid w:val="00D04238"/>
    <w:rsid w:val="00D07843"/>
    <w:rsid w:val="00D07F69"/>
    <w:rsid w:val="00D12364"/>
    <w:rsid w:val="00D176B1"/>
    <w:rsid w:val="00D20333"/>
    <w:rsid w:val="00D22AF9"/>
    <w:rsid w:val="00D27EFF"/>
    <w:rsid w:val="00D313AD"/>
    <w:rsid w:val="00D32056"/>
    <w:rsid w:val="00D33290"/>
    <w:rsid w:val="00D3466A"/>
    <w:rsid w:val="00D41E06"/>
    <w:rsid w:val="00D4443B"/>
    <w:rsid w:val="00D4522A"/>
    <w:rsid w:val="00D46F7F"/>
    <w:rsid w:val="00D50C57"/>
    <w:rsid w:val="00D56EBB"/>
    <w:rsid w:val="00D5710E"/>
    <w:rsid w:val="00D61E04"/>
    <w:rsid w:val="00D74E3E"/>
    <w:rsid w:val="00D76535"/>
    <w:rsid w:val="00D80D3A"/>
    <w:rsid w:val="00D82E1D"/>
    <w:rsid w:val="00D84E32"/>
    <w:rsid w:val="00D877FE"/>
    <w:rsid w:val="00D93564"/>
    <w:rsid w:val="00DA1655"/>
    <w:rsid w:val="00DA5005"/>
    <w:rsid w:val="00DA6F5C"/>
    <w:rsid w:val="00DB014F"/>
    <w:rsid w:val="00DB046D"/>
    <w:rsid w:val="00DC225D"/>
    <w:rsid w:val="00DC2FD3"/>
    <w:rsid w:val="00DC44C6"/>
    <w:rsid w:val="00DC4736"/>
    <w:rsid w:val="00DC53F1"/>
    <w:rsid w:val="00DD02CC"/>
    <w:rsid w:val="00DD126D"/>
    <w:rsid w:val="00DD1C56"/>
    <w:rsid w:val="00DD30FA"/>
    <w:rsid w:val="00DE1FB3"/>
    <w:rsid w:val="00DE38B9"/>
    <w:rsid w:val="00DE5D44"/>
    <w:rsid w:val="00DE6B6F"/>
    <w:rsid w:val="00DE72ED"/>
    <w:rsid w:val="00DF2B24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57436"/>
    <w:rsid w:val="00E61E4C"/>
    <w:rsid w:val="00E62901"/>
    <w:rsid w:val="00E647AF"/>
    <w:rsid w:val="00E64E25"/>
    <w:rsid w:val="00E66E9C"/>
    <w:rsid w:val="00E71E5B"/>
    <w:rsid w:val="00E73434"/>
    <w:rsid w:val="00E772B9"/>
    <w:rsid w:val="00E80196"/>
    <w:rsid w:val="00E824F8"/>
    <w:rsid w:val="00E852F5"/>
    <w:rsid w:val="00E857A3"/>
    <w:rsid w:val="00E93A1F"/>
    <w:rsid w:val="00E960BA"/>
    <w:rsid w:val="00E974F7"/>
    <w:rsid w:val="00EA24EF"/>
    <w:rsid w:val="00EA3139"/>
    <w:rsid w:val="00EA724E"/>
    <w:rsid w:val="00EB3CDF"/>
    <w:rsid w:val="00EC1C03"/>
    <w:rsid w:val="00EC55E6"/>
    <w:rsid w:val="00EC7A0C"/>
    <w:rsid w:val="00ED2AB1"/>
    <w:rsid w:val="00ED3173"/>
    <w:rsid w:val="00EE361E"/>
    <w:rsid w:val="00EE66CF"/>
    <w:rsid w:val="00EE6BC4"/>
    <w:rsid w:val="00EF1564"/>
    <w:rsid w:val="00EF2069"/>
    <w:rsid w:val="00EF31ED"/>
    <w:rsid w:val="00EF4D21"/>
    <w:rsid w:val="00EF5160"/>
    <w:rsid w:val="00F0146A"/>
    <w:rsid w:val="00F0349C"/>
    <w:rsid w:val="00F03EAB"/>
    <w:rsid w:val="00F0614C"/>
    <w:rsid w:val="00F06DB0"/>
    <w:rsid w:val="00F24872"/>
    <w:rsid w:val="00F333EB"/>
    <w:rsid w:val="00F3568E"/>
    <w:rsid w:val="00F3587D"/>
    <w:rsid w:val="00F367E6"/>
    <w:rsid w:val="00F4008A"/>
    <w:rsid w:val="00F41B2A"/>
    <w:rsid w:val="00F43F7C"/>
    <w:rsid w:val="00F46927"/>
    <w:rsid w:val="00F507AD"/>
    <w:rsid w:val="00F5196E"/>
    <w:rsid w:val="00F55EFB"/>
    <w:rsid w:val="00F57C00"/>
    <w:rsid w:val="00F643E0"/>
    <w:rsid w:val="00F66D09"/>
    <w:rsid w:val="00F72352"/>
    <w:rsid w:val="00F7240E"/>
    <w:rsid w:val="00F73D58"/>
    <w:rsid w:val="00F81BF5"/>
    <w:rsid w:val="00F81D22"/>
    <w:rsid w:val="00F824D7"/>
    <w:rsid w:val="00F831F9"/>
    <w:rsid w:val="00F83DDE"/>
    <w:rsid w:val="00F86584"/>
    <w:rsid w:val="00F869CD"/>
    <w:rsid w:val="00F8747F"/>
    <w:rsid w:val="00F90C42"/>
    <w:rsid w:val="00F90FE0"/>
    <w:rsid w:val="00F95191"/>
    <w:rsid w:val="00F95BF5"/>
    <w:rsid w:val="00FA016E"/>
    <w:rsid w:val="00FB10AC"/>
    <w:rsid w:val="00FB12FC"/>
    <w:rsid w:val="00FB67EE"/>
    <w:rsid w:val="00FB73A6"/>
    <w:rsid w:val="00FC34F6"/>
    <w:rsid w:val="00FC414A"/>
    <w:rsid w:val="00FC4829"/>
    <w:rsid w:val="00FC7202"/>
    <w:rsid w:val="00FD1649"/>
    <w:rsid w:val="00FE17D4"/>
    <w:rsid w:val="00FE1855"/>
    <w:rsid w:val="00FE31C8"/>
    <w:rsid w:val="00FE5707"/>
    <w:rsid w:val="00FE67A3"/>
    <w:rsid w:val="00FE76B1"/>
    <w:rsid w:val="00FF0E64"/>
    <w:rsid w:val="00FF127A"/>
    <w:rsid w:val="00FF1628"/>
    <w:rsid w:val="00FF1A7B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4E60D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A5FC-61FF-4EB8-9F19-C78ABA2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15</cp:revision>
  <dcterms:created xsi:type="dcterms:W3CDTF">2016-01-20T03:20:00Z</dcterms:created>
  <dcterms:modified xsi:type="dcterms:W3CDTF">2016-01-20T03:45:00Z</dcterms:modified>
</cp:coreProperties>
</file>