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CB" w:rsidRDefault="00F527CB" w:rsidP="00FE673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</w:t>
      </w:r>
      <w:r w:rsidR="00FB0CAE">
        <w:rPr>
          <w:rFonts w:ascii="宋体" w:hAnsi="宋体" w:hint="eastAsia"/>
          <w:bCs/>
          <w:iCs/>
          <w:color w:val="000000"/>
          <w:sz w:val="24"/>
        </w:rPr>
        <w:t>0032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证券简称：</w:t>
      </w:r>
      <w:r w:rsidR="00FB0CAE">
        <w:rPr>
          <w:rFonts w:ascii="宋体" w:hAnsi="宋体" w:hint="eastAsia"/>
          <w:bCs/>
          <w:iCs/>
          <w:color w:val="000000"/>
          <w:sz w:val="24"/>
        </w:rPr>
        <w:t>深桑达A</w:t>
      </w:r>
    </w:p>
    <w:p w:rsidR="00F527CB" w:rsidRDefault="00F527CB" w:rsidP="00FE6732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F527CB" w:rsidRDefault="00F527CB" w:rsidP="00FE67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 w:rsidR="00647252">
        <w:rPr>
          <w:rFonts w:ascii="宋体" w:hAnsi="宋体" w:hint="eastAsia"/>
          <w:b/>
          <w:bCs/>
          <w:iCs/>
          <w:color w:val="000000"/>
          <w:sz w:val="32"/>
          <w:szCs w:val="32"/>
        </w:rPr>
        <w:t>桑达实业股份有限公司</w:t>
      </w:r>
    </w:p>
    <w:p w:rsidR="00F527CB" w:rsidRDefault="00F527CB" w:rsidP="00FE6732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F527CB" w:rsidRDefault="00F527CB" w:rsidP="00F527C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编号：201</w:t>
      </w:r>
      <w:r w:rsidR="009252BE">
        <w:rPr>
          <w:rFonts w:ascii="宋体" w:hAnsi="宋体"/>
          <w:bCs/>
          <w:iCs/>
          <w:color w:val="000000"/>
          <w:sz w:val="24"/>
        </w:rPr>
        <w:t>6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9252BE">
        <w:rPr>
          <w:rFonts w:ascii="宋体" w:hAnsi="宋体"/>
          <w:bCs/>
          <w:iCs/>
          <w:color w:val="000000"/>
          <w:sz w:val="24"/>
        </w:rPr>
        <w:t>3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DB2255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480"/>
      </w:tblGrid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527CB" w:rsidRDefault="00F527CB" w:rsidP="00015BCC">
            <w:pPr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527CB" w:rsidRDefault="00F527CB" w:rsidP="00015BCC">
            <w:pPr>
              <w:tabs>
                <w:tab w:val="left" w:pos="3045"/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F527CB" w:rsidRDefault="00F527CB" w:rsidP="00015BCC">
            <w:pPr>
              <w:tabs>
                <w:tab w:val="center" w:pos="3199"/>
              </w:tabs>
              <w:spacing w:line="40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F527CB" w:rsidTr="00D04E9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CB" w:rsidRDefault="00113B73" w:rsidP="00F527CB">
            <w:pPr>
              <w:spacing w:line="480" w:lineRule="atLeast"/>
              <w:rPr>
                <w:rFonts w:ascii="宋体" w:hAnsi="宋体"/>
                <w:snapToGrid w:val="0"/>
                <w:kern w:val="28"/>
                <w:sz w:val="24"/>
                <w:szCs w:val="20"/>
              </w:rPr>
            </w:pPr>
            <w:r>
              <w:rPr>
                <w:rFonts w:ascii="宋体" w:hAnsi="宋体" w:hint="eastAsia"/>
                <w:snapToGrid w:val="0"/>
                <w:kern w:val="28"/>
                <w:sz w:val="24"/>
                <w:szCs w:val="20"/>
              </w:rPr>
              <w:t>中信</w:t>
            </w:r>
            <w:r>
              <w:rPr>
                <w:rFonts w:ascii="宋体" w:hAnsi="宋体"/>
                <w:snapToGrid w:val="0"/>
                <w:kern w:val="28"/>
                <w:sz w:val="24"/>
                <w:szCs w:val="20"/>
              </w:rPr>
              <w:t>建投</w:t>
            </w:r>
            <w:r>
              <w:rPr>
                <w:rFonts w:ascii="宋体" w:hAnsi="宋体" w:hint="eastAsia"/>
                <w:snapToGrid w:val="0"/>
                <w:kern w:val="28"/>
                <w:sz w:val="24"/>
                <w:szCs w:val="20"/>
              </w:rPr>
              <w:t xml:space="preserve"> 于海宁</w:t>
            </w:r>
          </w:p>
          <w:p w:rsidR="00B03728" w:rsidRDefault="00B03728" w:rsidP="00F527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napToGrid w:val="0"/>
                <w:kern w:val="28"/>
                <w:sz w:val="24"/>
                <w:szCs w:val="20"/>
              </w:rPr>
              <w:t>天治基金 沈</w:t>
            </w:r>
            <w:r>
              <w:rPr>
                <w:rFonts w:ascii="宋体" w:hAnsi="宋体"/>
                <w:snapToGrid w:val="0"/>
                <w:kern w:val="28"/>
                <w:sz w:val="24"/>
                <w:szCs w:val="20"/>
              </w:rPr>
              <w:t>少捷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A91AAB" w:rsidP="00AA1E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年3月3日 </w:t>
            </w:r>
            <w:r w:rsidR="009252BE">
              <w:rPr>
                <w:rFonts w:ascii="宋体" w:hAnsi="宋体"/>
                <w:bCs/>
                <w:iCs/>
                <w:color w:val="000000"/>
                <w:sz w:val="24"/>
              </w:rPr>
              <w:t>14</w:t>
            </w:r>
            <w:r w:rsidR="00F527CB">
              <w:rPr>
                <w:rFonts w:ascii="宋体" w:hAnsi="宋体" w:hint="eastAsia"/>
                <w:bCs/>
                <w:iCs/>
                <w:color w:val="000000"/>
                <w:sz w:val="24"/>
              </w:rPr>
              <w:t>:00-1</w:t>
            </w:r>
            <w:r w:rsidR="00AA1E12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 w:rsidR="00F527CB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AA1E12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F527C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0 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AB258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B2581">
              <w:rPr>
                <w:rFonts w:ascii="宋体" w:hAnsi="宋体" w:hint="eastAsia"/>
                <w:bCs/>
                <w:iCs/>
                <w:color w:val="000000"/>
                <w:sz w:val="24"/>
              </w:rPr>
              <w:t>十六楼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2F" w:rsidRDefault="00FA12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秘书：</w:t>
            </w:r>
            <w:r w:rsidR="0041634B">
              <w:rPr>
                <w:rFonts w:ascii="宋体" w:hAnsi="宋体" w:hint="eastAsia"/>
                <w:bCs/>
                <w:iCs/>
                <w:color w:val="000000"/>
                <w:sz w:val="24"/>
              </w:rPr>
              <w:t>钟彦</w:t>
            </w:r>
          </w:p>
          <w:p w:rsidR="007B5ADE" w:rsidRDefault="007B5AD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财务总监</w:t>
            </w:r>
            <w:r>
              <w:rPr>
                <w:rFonts w:hAnsi="宋体" w:hint="eastAsia"/>
                <w:color w:val="000000"/>
                <w:sz w:val="24"/>
              </w:rPr>
              <w:t>：</w:t>
            </w:r>
            <w:r>
              <w:rPr>
                <w:rFonts w:hAnsi="宋体"/>
                <w:color w:val="000000"/>
                <w:sz w:val="24"/>
              </w:rPr>
              <w:t>陈亮</w:t>
            </w:r>
          </w:p>
          <w:p w:rsidR="00F527CB" w:rsidRDefault="00FA12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代表：</w:t>
            </w:r>
            <w:r w:rsidR="0041634B">
              <w:rPr>
                <w:rFonts w:ascii="宋体" w:hAnsi="宋体" w:hint="eastAsia"/>
                <w:bCs/>
                <w:iCs/>
                <w:color w:val="000000"/>
                <w:sz w:val="24"/>
              </w:rPr>
              <w:t>李红梅</w:t>
            </w:r>
          </w:p>
          <w:p w:rsidR="00AA1E12" w:rsidRDefault="00AA1E1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：赵奕清</w:t>
            </w:r>
          </w:p>
        </w:tc>
      </w:tr>
      <w:tr w:rsidR="00F527CB" w:rsidTr="00F527CB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ED" w:rsidRDefault="00B645C2" w:rsidP="000D543F">
            <w:pPr>
              <w:pStyle w:val="A3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董事会</w:t>
            </w:r>
            <w:r>
              <w:rPr>
                <w:rFonts w:hAnsi="宋体"/>
                <w:color w:val="000000"/>
                <w:sz w:val="24"/>
                <w:szCs w:val="24"/>
              </w:rPr>
              <w:t>秘书钟彦女士</w:t>
            </w:r>
            <w:r w:rsidR="008A5805">
              <w:rPr>
                <w:rFonts w:hAnsi="宋体" w:hint="eastAsia"/>
                <w:color w:val="000000"/>
                <w:sz w:val="24"/>
                <w:szCs w:val="24"/>
              </w:rPr>
              <w:t>、</w:t>
            </w:r>
            <w:r w:rsidR="008A5805">
              <w:rPr>
                <w:rFonts w:hAnsi="宋体"/>
                <w:color w:val="000000"/>
                <w:sz w:val="24"/>
                <w:szCs w:val="24"/>
              </w:rPr>
              <w:t>财务总监陈亮先生</w:t>
            </w:r>
            <w:r w:rsidR="00A908ED" w:rsidRPr="00A908ED">
              <w:rPr>
                <w:rFonts w:hAnsi="宋体" w:hint="eastAsia"/>
                <w:color w:val="000000"/>
                <w:sz w:val="24"/>
                <w:szCs w:val="24"/>
              </w:rPr>
              <w:t>与来访</w:t>
            </w:r>
            <w:r w:rsidR="00CE230D">
              <w:rPr>
                <w:rFonts w:hAnsi="宋体" w:hint="eastAsia"/>
                <w:color w:val="000000"/>
                <w:sz w:val="24"/>
                <w:szCs w:val="24"/>
              </w:rPr>
              <w:t>人员</w:t>
            </w:r>
            <w:r w:rsidR="00A908ED" w:rsidRPr="00A908ED">
              <w:rPr>
                <w:rFonts w:hAnsi="宋体" w:hint="eastAsia"/>
                <w:color w:val="000000"/>
                <w:sz w:val="24"/>
                <w:szCs w:val="24"/>
              </w:rPr>
              <w:t>就下列内容进行了交流：</w:t>
            </w:r>
          </w:p>
          <w:p w:rsidR="00F4762D" w:rsidRPr="006A4274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t>1、公司业务未来主要发展方向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公司将以信息服务业为主轴，以智慧产业（智慧物流、智慧照明、智慧商业）及铁路通信及信号产业为抓手进行产业布局，专注于政府及行业市场，以自主创新和产业并购为手段，加快创新和改革步伐，打造公司新兴战略体系。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</w:p>
          <w:p w:rsidR="00F4762D" w:rsidRPr="006A4274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t>2、在CEC中的定位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主要立足于</w:t>
            </w:r>
            <w:r w:rsidR="00AD39E5" w:rsidRPr="00AD39E5">
              <w:rPr>
                <w:rFonts w:hAnsi="宋体" w:hint="eastAsia"/>
                <w:color w:val="000000"/>
                <w:sz w:val="24"/>
                <w:szCs w:val="24"/>
              </w:rPr>
              <w:t>信息服务业</w:t>
            </w: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。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</w:p>
          <w:p w:rsidR="00F4762D" w:rsidRPr="006A4274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t>3、收购神彩物流、捷达运输、无线通讯以后的未来的业务整合和发展战略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收购神彩物流、捷达运输、无线通讯完成后，深桑达将通过产业结构调整，逐步转型为以电子产品、通讯服务和商贸为主的多元化电子信息产品与服务提供商。其主营业务将具有以下特点：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1）在原来主营传统电子信息产品的基础上，新增高速铁路移动通讯GSM-R系统终端的供应业务，深桑达的业务由竞争激烈的传统电子信息产品领域逐步拓展到具</w:t>
            </w:r>
            <w:r w:rsidR="00756749">
              <w:rPr>
                <w:rFonts w:hAnsi="宋体" w:hint="eastAsia"/>
                <w:color w:val="000000"/>
                <w:sz w:val="24"/>
                <w:szCs w:val="24"/>
              </w:rPr>
              <w:t>有高技术含量与高附加值的通讯服务领域，从而实现产品的调整与升级</w:t>
            </w: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。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2</w:t>
            </w:r>
            <w:r w:rsidR="00756749">
              <w:rPr>
                <w:rFonts w:hAnsi="宋体" w:hint="eastAsia"/>
                <w:color w:val="000000"/>
                <w:sz w:val="24"/>
                <w:szCs w:val="24"/>
              </w:rPr>
              <w:t>）本次重组并入</w:t>
            </w: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了神彩物流与捷达运输</w:t>
            </w:r>
            <w:r w:rsidR="000E5BFB">
              <w:rPr>
                <w:rFonts w:hAnsi="宋体" w:hint="eastAsia"/>
                <w:color w:val="000000"/>
                <w:sz w:val="24"/>
                <w:szCs w:val="24"/>
              </w:rPr>
              <w:t>，</w:t>
            </w: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现代信息服务业供应链业务</w:t>
            </w:r>
            <w:r w:rsidR="000E5BFB">
              <w:rPr>
                <w:rFonts w:hAnsi="宋体" w:hint="eastAsia"/>
                <w:color w:val="000000"/>
                <w:sz w:val="24"/>
                <w:szCs w:val="24"/>
              </w:rPr>
              <w:t>是公司一大板块</w:t>
            </w:r>
            <w:r w:rsidR="00E37EAE">
              <w:rPr>
                <w:rFonts w:hAnsi="宋体" w:hint="eastAsia"/>
                <w:color w:val="000000"/>
                <w:sz w:val="24"/>
                <w:szCs w:val="24"/>
              </w:rPr>
              <w:t>，与</w:t>
            </w: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现有企业业务协同发展。深桑达将发挥神彩物流在电子产品物流、产业物流与供应链管理方面的优势，协同捷达运输在精密仪器设备的物流运输与国际贸易方面</w:t>
            </w:r>
            <w:r w:rsidR="00E37EAE">
              <w:rPr>
                <w:rFonts w:hAnsi="宋体" w:hint="eastAsia"/>
                <w:color w:val="000000"/>
                <w:sz w:val="24"/>
                <w:szCs w:val="24"/>
              </w:rPr>
              <w:t>的优势，通过统一规划和管理，使深桑达的现代信息服务业务的实力进一步</w:t>
            </w: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增强。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</w:p>
          <w:p w:rsidR="00F4762D" w:rsidRPr="006A4274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t>4、中电桑飞经营情况</w:t>
            </w:r>
          </w:p>
          <w:p w:rsidR="00F4762D" w:rsidRPr="00F4762D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F4762D">
              <w:rPr>
                <w:rFonts w:hAnsi="宋体" w:hint="eastAsia"/>
                <w:color w:val="000000"/>
                <w:sz w:val="24"/>
                <w:szCs w:val="24"/>
              </w:rPr>
              <w:t>中电桑飞公司目前通过发挥飞利浦品牌优势，大力开拓国内智慧照明市场。</w:t>
            </w:r>
          </w:p>
          <w:p w:rsidR="00F4762D" w:rsidRPr="00F4762D" w:rsidRDefault="00F4762D" w:rsidP="00E37EAE">
            <w:pPr>
              <w:pStyle w:val="A3"/>
              <w:spacing w:beforeLines="50" w:before="156" w:afterLines="50" w:after="156"/>
              <w:ind w:firstLine="0"/>
              <w:rPr>
                <w:rFonts w:hAnsi="宋体"/>
                <w:color w:val="000000"/>
                <w:sz w:val="24"/>
                <w:szCs w:val="24"/>
              </w:rPr>
            </w:pPr>
          </w:p>
          <w:p w:rsidR="00F4762D" w:rsidRPr="006A4274" w:rsidRDefault="00F4762D" w:rsidP="00F4762D">
            <w:pPr>
              <w:pStyle w:val="A3"/>
              <w:spacing w:beforeLines="50" w:before="156" w:afterLines="50" w:after="156"/>
              <w:rPr>
                <w:rFonts w:hAnsi="宋体"/>
                <w:b/>
                <w:color w:val="000000"/>
                <w:sz w:val="24"/>
                <w:szCs w:val="24"/>
              </w:rPr>
            </w:pP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lastRenderedPageBreak/>
              <w:t>5、</w:t>
            </w:r>
            <w:r w:rsidR="00F923C9">
              <w:rPr>
                <w:rFonts w:hAnsi="宋体" w:hint="eastAsia"/>
                <w:b/>
                <w:color w:val="000000"/>
                <w:sz w:val="24"/>
                <w:szCs w:val="24"/>
              </w:rPr>
              <w:t>中联项目</w:t>
            </w:r>
            <w:r w:rsidRPr="006A4274">
              <w:rPr>
                <w:rFonts w:hAnsi="宋体" w:hint="eastAsia"/>
                <w:b/>
                <w:color w:val="000000"/>
                <w:sz w:val="24"/>
                <w:szCs w:val="24"/>
              </w:rPr>
              <w:t>情况</w:t>
            </w:r>
          </w:p>
          <w:p w:rsidR="00F4762D" w:rsidRDefault="000F09B9" w:rsidP="00F4762D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该项目</w:t>
            </w:r>
            <w:r w:rsidR="00F923C9">
              <w:rPr>
                <w:rFonts w:hAnsi="宋体" w:hint="eastAsia"/>
                <w:color w:val="000000"/>
                <w:sz w:val="24"/>
                <w:szCs w:val="24"/>
              </w:rPr>
              <w:t>目前还在</w:t>
            </w:r>
            <w:r w:rsidR="00F923C9">
              <w:rPr>
                <w:rFonts w:hAnsi="宋体"/>
                <w:color w:val="000000"/>
                <w:sz w:val="24"/>
                <w:szCs w:val="24"/>
              </w:rPr>
              <w:t>确权阶段。</w:t>
            </w:r>
          </w:p>
          <w:p w:rsidR="00FB079E" w:rsidRPr="00F4762D" w:rsidRDefault="00FB079E" w:rsidP="00490FAC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</w:p>
          <w:p w:rsidR="003B69DE" w:rsidRPr="00326178" w:rsidRDefault="006C2015" w:rsidP="00C83EAE">
            <w:pPr>
              <w:pStyle w:val="A3"/>
              <w:spacing w:beforeLines="50" w:before="156" w:afterLines="50" w:after="156"/>
              <w:rPr>
                <w:rFonts w:hAnsi="宋体"/>
                <w:color w:val="000000"/>
                <w:sz w:val="24"/>
                <w:szCs w:val="24"/>
              </w:rPr>
            </w:pPr>
            <w:r w:rsidRPr="006C2015">
              <w:rPr>
                <w:rFonts w:cs="宋体" w:hint="eastAsia"/>
                <w:b/>
                <w:sz w:val="24"/>
              </w:rPr>
              <w:t>公司</w:t>
            </w:r>
            <w:r w:rsidR="00C83EAE">
              <w:rPr>
                <w:rFonts w:cs="宋体" w:hint="eastAsia"/>
                <w:b/>
                <w:sz w:val="24"/>
              </w:rPr>
              <w:t>接待人员</w:t>
            </w:r>
            <w:r w:rsidRPr="006C2015">
              <w:rPr>
                <w:rFonts w:cs="宋体" w:hint="eastAsia"/>
                <w:b/>
                <w:sz w:val="24"/>
              </w:rPr>
              <w:t>与投资者进行了充分的交流与沟通，并严格按照有关制度规定，没有出现未公开重大信息泄露等情况，同时已按深交所要求签署调研《承诺书》。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527CB" w:rsidTr="00F527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CB" w:rsidRDefault="00F527CB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CB" w:rsidRDefault="00F527CB" w:rsidP="006A427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6A4274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6A4274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6A4274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</w:p>
        </w:tc>
      </w:tr>
    </w:tbl>
    <w:p w:rsidR="00D04E98" w:rsidRDefault="00D04E98" w:rsidP="00881A9B">
      <w:bookmarkStart w:id="0" w:name="_GoBack"/>
      <w:bookmarkEnd w:id="0"/>
    </w:p>
    <w:sectPr w:rsidR="00D04E98" w:rsidSect="00456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C4" w:rsidRDefault="008C50C4" w:rsidP="006E3AF3">
      <w:r>
        <w:separator/>
      </w:r>
    </w:p>
  </w:endnote>
  <w:endnote w:type="continuationSeparator" w:id="0">
    <w:p w:rsidR="008C50C4" w:rsidRDefault="008C50C4" w:rsidP="006E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C4" w:rsidRDefault="008C50C4" w:rsidP="006E3AF3">
      <w:r>
        <w:separator/>
      </w:r>
    </w:p>
  </w:footnote>
  <w:footnote w:type="continuationSeparator" w:id="0">
    <w:p w:rsidR="008C50C4" w:rsidRDefault="008C50C4" w:rsidP="006E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02756"/>
    <w:multiLevelType w:val="hybridMultilevel"/>
    <w:tmpl w:val="E0C0D800"/>
    <w:lvl w:ilvl="0" w:tplc="77DC8D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CB"/>
    <w:rsid w:val="0001326F"/>
    <w:rsid w:val="00015BCC"/>
    <w:rsid w:val="00025EC2"/>
    <w:rsid w:val="00033881"/>
    <w:rsid w:val="00053310"/>
    <w:rsid w:val="00055372"/>
    <w:rsid w:val="00065F92"/>
    <w:rsid w:val="00094C61"/>
    <w:rsid w:val="000A731D"/>
    <w:rsid w:val="000B0452"/>
    <w:rsid w:val="000D543F"/>
    <w:rsid w:val="000E2E61"/>
    <w:rsid w:val="000E5BFB"/>
    <w:rsid w:val="000F09B9"/>
    <w:rsid w:val="00113B73"/>
    <w:rsid w:val="0012771D"/>
    <w:rsid w:val="00134485"/>
    <w:rsid w:val="001A3E30"/>
    <w:rsid w:val="001D751B"/>
    <w:rsid w:val="001E3F39"/>
    <w:rsid w:val="001E7CAC"/>
    <w:rsid w:val="0022385C"/>
    <w:rsid w:val="00231018"/>
    <w:rsid w:val="00252AB0"/>
    <w:rsid w:val="0026156F"/>
    <w:rsid w:val="0029508E"/>
    <w:rsid w:val="002C3777"/>
    <w:rsid w:val="002E0EF5"/>
    <w:rsid w:val="002F5DCD"/>
    <w:rsid w:val="00326178"/>
    <w:rsid w:val="003268AF"/>
    <w:rsid w:val="00350324"/>
    <w:rsid w:val="00375F6A"/>
    <w:rsid w:val="003B0454"/>
    <w:rsid w:val="003B69DE"/>
    <w:rsid w:val="003C3C73"/>
    <w:rsid w:val="003F6080"/>
    <w:rsid w:val="0040404D"/>
    <w:rsid w:val="004047D3"/>
    <w:rsid w:val="00414D23"/>
    <w:rsid w:val="0041634B"/>
    <w:rsid w:val="00442808"/>
    <w:rsid w:val="00456D78"/>
    <w:rsid w:val="00481E06"/>
    <w:rsid w:val="004867EA"/>
    <w:rsid w:val="00490FAC"/>
    <w:rsid w:val="004E6AC1"/>
    <w:rsid w:val="00572D36"/>
    <w:rsid w:val="00587B5E"/>
    <w:rsid w:val="00594B4A"/>
    <w:rsid w:val="005B3613"/>
    <w:rsid w:val="005F4333"/>
    <w:rsid w:val="0060302C"/>
    <w:rsid w:val="00622767"/>
    <w:rsid w:val="006250A4"/>
    <w:rsid w:val="00647252"/>
    <w:rsid w:val="00695CD0"/>
    <w:rsid w:val="006A4274"/>
    <w:rsid w:val="006C2015"/>
    <w:rsid w:val="006E097B"/>
    <w:rsid w:val="006E3AF3"/>
    <w:rsid w:val="00705738"/>
    <w:rsid w:val="007249D8"/>
    <w:rsid w:val="00747002"/>
    <w:rsid w:val="00753405"/>
    <w:rsid w:val="00756749"/>
    <w:rsid w:val="00782199"/>
    <w:rsid w:val="007B5ADE"/>
    <w:rsid w:val="007D2091"/>
    <w:rsid w:val="00822273"/>
    <w:rsid w:val="00834D81"/>
    <w:rsid w:val="00881A9B"/>
    <w:rsid w:val="008A270E"/>
    <w:rsid w:val="008A5805"/>
    <w:rsid w:val="008C4C36"/>
    <w:rsid w:val="008C50C4"/>
    <w:rsid w:val="008D365A"/>
    <w:rsid w:val="008D76E7"/>
    <w:rsid w:val="008E5567"/>
    <w:rsid w:val="008F1A23"/>
    <w:rsid w:val="008F37B3"/>
    <w:rsid w:val="00906E8C"/>
    <w:rsid w:val="009252BE"/>
    <w:rsid w:val="009269BE"/>
    <w:rsid w:val="00966790"/>
    <w:rsid w:val="009837F6"/>
    <w:rsid w:val="00993EBB"/>
    <w:rsid w:val="009B72F9"/>
    <w:rsid w:val="009D1BBF"/>
    <w:rsid w:val="009D72AC"/>
    <w:rsid w:val="009E418F"/>
    <w:rsid w:val="00A25D20"/>
    <w:rsid w:val="00A468AB"/>
    <w:rsid w:val="00A908ED"/>
    <w:rsid w:val="00A91AAB"/>
    <w:rsid w:val="00AA1E12"/>
    <w:rsid w:val="00AB2581"/>
    <w:rsid w:val="00AD39E5"/>
    <w:rsid w:val="00AE2270"/>
    <w:rsid w:val="00AE5E98"/>
    <w:rsid w:val="00AE757B"/>
    <w:rsid w:val="00B03728"/>
    <w:rsid w:val="00B320C2"/>
    <w:rsid w:val="00B645C2"/>
    <w:rsid w:val="00B648B8"/>
    <w:rsid w:val="00B81DE6"/>
    <w:rsid w:val="00BC71EB"/>
    <w:rsid w:val="00C201BC"/>
    <w:rsid w:val="00C21429"/>
    <w:rsid w:val="00C83EAE"/>
    <w:rsid w:val="00CD5056"/>
    <w:rsid w:val="00CE084D"/>
    <w:rsid w:val="00CE230D"/>
    <w:rsid w:val="00D04E98"/>
    <w:rsid w:val="00D679F5"/>
    <w:rsid w:val="00D70CBA"/>
    <w:rsid w:val="00D85719"/>
    <w:rsid w:val="00DA1741"/>
    <w:rsid w:val="00DB2255"/>
    <w:rsid w:val="00E15FB4"/>
    <w:rsid w:val="00E33A95"/>
    <w:rsid w:val="00E37EAE"/>
    <w:rsid w:val="00E91251"/>
    <w:rsid w:val="00EE1AD9"/>
    <w:rsid w:val="00EE1B27"/>
    <w:rsid w:val="00F074F0"/>
    <w:rsid w:val="00F14AB3"/>
    <w:rsid w:val="00F303D9"/>
    <w:rsid w:val="00F4762D"/>
    <w:rsid w:val="00F51125"/>
    <w:rsid w:val="00F527CB"/>
    <w:rsid w:val="00F7727C"/>
    <w:rsid w:val="00F923C9"/>
    <w:rsid w:val="00FA122F"/>
    <w:rsid w:val="00FA7546"/>
    <w:rsid w:val="00FB079E"/>
    <w:rsid w:val="00FB0CAE"/>
    <w:rsid w:val="00FB14DD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22C23-0698-447E-8547-DD973B06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A"/>
    <w:basedOn w:val="a"/>
    <w:rsid w:val="00F527CB"/>
    <w:pPr>
      <w:adjustRightInd w:val="0"/>
      <w:spacing w:line="360" w:lineRule="auto"/>
      <w:ind w:firstLine="567"/>
    </w:pPr>
    <w:rPr>
      <w:rFonts w:ascii="宋体" w:hAnsi="Arial"/>
      <w:kern w:val="0"/>
      <w:sz w:val="28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527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527C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E3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3AF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3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3A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D3DB-E775-4F24-91CE-51DCF0D0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163</Words>
  <Characters>932</Characters>
  <Application>Microsoft Office Word</Application>
  <DocSecurity>0</DocSecurity>
  <Lines>7</Lines>
  <Paragraphs>2</Paragraphs>
  <ScaleCrop>false</ScaleCrop>
  <Company>fp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zhaoyq</cp:lastModifiedBy>
  <cp:revision>4</cp:revision>
  <cp:lastPrinted>2016-03-04T05:45:00Z</cp:lastPrinted>
  <dcterms:created xsi:type="dcterms:W3CDTF">2016-03-03T07:58:00Z</dcterms:created>
  <dcterms:modified xsi:type="dcterms:W3CDTF">2016-03-04T05:51:00Z</dcterms:modified>
</cp:coreProperties>
</file>