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C10" w:rsidRPr="007A446E" w:rsidRDefault="00EE1C10" w:rsidP="00ED74AF">
      <w:pPr>
        <w:spacing w:beforeLines="50" w:afterLines="50" w:line="400" w:lineRule="exact"/>
        <w:rPr>
          <w:rFonts w:ascii="Arial" w:hAnsi="Arial"/>
          <w:bCs/>
          <w:iCs/>
          <w:color w:val="000000"/>
          <w:sz w:val="24"/>
        </w:rPr>
      </w:pPr>
      <w:r w:rsidRPr="007A446E">
        <w:rPr>
          <w:rFonts w:ascii="Arial" w:hAnsi="Times" w:hint="eastAsia"/>
          <w:bCs/>
          <w:iCs/>
          <w:color w:val="000000"/>
          <w:sz w:val="24"/>
        </w:rPr>
        <w:t>证券代码：</w:t>
      </w:r>
      <w:r w:rsidRPr="007A446E">
        <w:rPr>
          <w:rFonts w:ascii="Arial" w:hAnsi="Arial" w:hint="eastAsia"/>
          <w:bCs/>
          <w:iCs/>
          <w:color w:val="000000"/>
          <w:sz w:val="24"/>
        </w:rPr>
        <w:t xml:space="preserve">000001                                  </w:t>
      </w:r>
      <w:r w:rsidRPr="007A446E">
        <w:rPr>
          <w:rFonts w:ascii="Arial" w:hAnsi="Times" w:hint="eastAsia"/>
          <w:bCs/>
          <w:iCs/>
          <w:color w:val="000000"/>
          <w:sz w:val="24"/>
        </w:rPr>
        <w:t>证券简称：</w:t>
      </w:r>
      <w:r w:rsidR="00D96584" w:rsidRPr="007A446E">
        <w:rPr>
          <w:rFonts w:ascii="Arial" w:hAnsi="Times" w:hint="eastAsia"/>
          <w:bCs/>
          <w:iCs/>
          <w:color w:val="000000"/>
          <w:sz w:val="24"/>
        </w:rPr>
        <w:t>平安银行</w:t>
      </w:r>
    </w:p>
    <w:p w:rsidR="00EE1C10" w:rsidRPr="007A446E" w:rsidRDefault="003317E5" w:rsidP="00ED74AF">
      <w:pPr>
        <w:spacing w:beforeLines="50" w:afterLines="50" w:line="400" w:lineRule="exact"/>
        <w:jc w:val="center"/>
        <w:rPr>
          <w:rFonts w:ascii="Arial" w:hAnsi="Arial"/>
          <w:b/>
          <w:bCs/>
          <w:iCs/>
          <w:color w:val="000000"/>
          <w:sz w:val="24"/>
        </w:rPr>
      </w:pPr>
      <w:r w:rsidRPr="007A446E">
        <w:rPr>
          <w:rFonts w:ascii="Arial" w:hAnsi="Times" w:hint="eastAsia"/>
          <w:b/>
          <w:bCs/>
          <w:iCs/>
          <w:color w:val="000000"/>
          <w:sz w:val="24"/>
        </w:rPr>
        <w:t>平安</w:t>
      </w:r>
      <w:r w:rsidR="00EE1C10" w:rsidRPr="007A446E">
        <w:rPr>
          <w:rFonts w:ascii="Arial" w:hAnsi="Times" w:hint="eastAsia"/>
          <w:b/>
          <w:bCs/>
          <w:iCs/>
          <w:color w:val="000000"/>
          <w:sz w:val="24"/>
        </w:rPr>
        <w:t>银行股份有限公司投资者关系活动记录表</w:t>
      </w:r>
    </w:p>
    <w:p w:rsidR="00EE1C10" w:rsidRPr="007A446E" w:rsidRDefault="00EE1C10" w:rsidP="00EE1C10">
      <w:pPr>
        <w:spacing w:line="400" w:lineRule="exact"/>
        <w:rPr>
          <w:rFonts w:ascii="Arial" w:hAnsi="Arial"/>
          <w:bCs/>
          <w:iCs/>
          <w:color w:val="000000"/>
          <w:sz w:val="24"/>
        </w:rPr>
      </w:pPr>
      <w:r w:rsidRPr="007A446E">
        <w:rPr>
          <w:rFonts w:ascii="Arial" w:hAnsi="Arial" w:hint="eastAsia"/>
          <w:bCs/>
          <w:iCs/>
          <w:color w:val="000000"/>
          <w:sz w:val="24"/>
        </w:rPr>
        <w:t xml:space="preserve">                                                         </w:t>
      </w:r>
      <w:r w:rsidRPr="007A446E">
        <w:rPr>
          <w:rFonts w:ascii="Arial" w:hAnsi="Times" w:hint="eastAsia"/>
          <w:bCs/>
          <w:iCs/>
          <w:color w:val="000000"/>
          <w:sz w:val="24"/>
        </w:rPr>
        <w:t>编号：</w:t>
      </w:r>
    </w:p>
    <w:tbl>
      <w:tblPr>
        <w:tblStyle w:val="a3"/>
        <w:tblW w:w="0" w:type="auto"/>
        <w:tblLook w:val="01E0"/>
      </w:tblPr>
      <w:tblGrid>
        <w:gridCol w:w="1908"/>
        <w:gridCol w:w="6614"/>
      </w:tblGrid>
      <w:tr w:rsidR="00EE1C10" w:rsidRPr="007A446E" w:rsidTr="008F16A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7A446E" w:rsidRDefault="00EE1C10" w:rsidP="008F16A2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7A446E">
              <w:rPr>
                <w:rFonts w:ascii="Arial" w:hAnsi="Times" w:hint="eastAsia"/>
                <w:bCs/>
                <w:iCs/>
                <w:color w:val="000000"/>
                <w:sz w:val="24"/>
              </w:rPr>
              <w:t>投资者关系活动类别</w:t>
            </w:r>
          </w:p>
          <w:p w:rsidR="00EE1C10" w:rsidRPr="007A446E" w:rsidRDefault="00EE1C10" w:rsidP="008F16A2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7A446E" w:rsidRDefault="00FF0263" w:rsidP="008F16A2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7A446E">
              <w:rPr>
                <w:rFonts w:ascii="Arial" w:hAnsi="Arial" w:hint="eastAsia"/>
                <w:bCs/>
                <w:iCs/>
                <w:color w:val="000000"/>
                <w:sz w:val="24"/>
              </w:rPr>
              <w:sym w:font="Wingdings" w:char="F0FE"/>
            </w:r>
            <w:r w:rsidR="00EE1C10" w:rsidRPr="007A446E">
              <w:rPr>
                <w:rFonts w:ascii="Arial" w:hAnsi="Times" w:hint="eastAsia"/>
                <w:sz w:val="24"/>
              </w:rPr>
              <w:t>特定对象调研</w:t>
            </w:r>
            <w:r w:rsidR="00EE1C10" w:rsidRPr="007A446E">
              <w:rPr>
                <w:rFonts w:ascii="Arial" w:hAnsi="Arial" w:hint="eastAsia"/>
                <w:sz w:val="24"/>
              </w:rPr>
              <w:t xml:space="preserve">        </w:t>
            </w:r>
            <w:r w:rsidR="00EE1C10" w:rsidRPr="007A446E">
              <w:rPr>
                <w:rFonts w:ascii="Arial" w:hAnsi="Arial" w:hint="eastAsia"/>
                <w:bCs/>
                <w:iCs/>
                <w:color w:val="000000"/>
                <w:sz w:val="24"/>
              </w:rPr>
              <w:t>□</w:t>
            </w:r>
            <w:r w:rsidR="00EE1C10" w:rsidRPr="007A446E">
              <w:rPr>
                <w:rFonts w:ascii="Arial" w:hAnsi="Times" w:hint="eastAsia"/>
                <w:sz w:val="24"/>
              </w:rPr>
              <w:t>分析师会议</w:t>
            </w:r>
          </w:p>
          <w:p w:rsidR="00EE1C10" w:rsidRPr="007A446E" w:rsidRDefault="00EE1C10" w:rsidP="008F16A2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7A446E">
              <w:rPr>
                <w:rFonts w:ascii="Arial" w:hAnsi="Arial" w:hint="eastAsia"/>
                <w:bCs/>
                <w:iCs/>
                <w:color w:val="000000"/>
                <w:sz w:val="24"/>
              </w:rPr>
              <w:t>□</w:t>
            </w:r>
            <w:r w:rsidRPr="007A446E">
              <w:rPr>
                <w:rFonts w:ascii="Arial" w:hAnsi="Times" w:hint="eastAsia"/>
                <w:sz w:val="24"/>
              </w:rPr>
              <w:t>媒体采访</w:t>
            </w:r>
            <w:r w:rsidRPr="007A446E">
              <w:rPr>
                <w:rFonts w:ascii="Arial" w:hAnsi="Arial" w:hint="eastAsia"/>
                <w:sz w:val="24"/>
              </w:rPr>
              <w:t xml:space="preserve">            </w:t>
            </w:r>
            <w:r w:rsidR="00FF0263" w:rsidRPr="007A446E">
              <w:rPr>
                <w:rFonts w:ascii="Arial" w:hAnsi="Arial" w:hint="eastAsia"/>
                <w:bCs/>
                <w:iCs/>
                <w:color w:val="000000"/>
                <w:sz w:val="24"/>
              </w:rPr>
              <w:t>□</w:t>
            </w:r>
            <w:r w:rsidRPr="007A446E">
              <w:rPr>
                <w:rFonts w:ascii="Arial" w:hAnsi="Times" w:hint="eastAsia"/>
                <w:sz w:val="24"/>
              </w:rPr>
              <w:t>业绩说明会</w:t>
            </w:r>
          </w:p>
          <w:p w:rsidR="00EE1C10" w:rsidRPr="007A446E" w:rsidRDefault="00EE1C10" w:rsidP="008F16A2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7A446E">
              <w:rPr>
                <w:rFonts w:ascii="Arial" w:hAnsi="Arial" w:hint="eastAsia"/>
                <w:bCs/>
                <w:iCs/>
                <w:color w:val="000000"/>
                <w:sz w:val="24"/>
              </w:rPr>
              <w:t>□</w:t>
            </w:r>
            <w:r w:rsidRPr="007A446E">
              <w:rPr>
                <w:rFonts w:ascii="Arial" w:hAnsi="Times" w:hint="eastAsia"/>
                <w:sz w:val="24"/>
              </w:rPr>
              <w:t>新闻发布会</w:t>
            </w:r>
            <w:r w:rsidRPr="007A446E">
              <w:rPr>
                <w:rFonts w:ascii="Arial" w:hAnsi="Arial" w:hint="eastAsia"/>
                <w:sz w:val="24"/>
              </w:rPr>
              <w:t xml:space="preserve">          </w:t>
            </w:r>
            <w:r w:rsidR="00D87038" w:rsidRPr="007A446E">
              <w:rPr>
                <w:rFonts w:ascii="Arial" w:hAnsi="Arial" w:hint="eastAsia"/>
                <w:bCs/>
                <w:iCs/>
                <w:color w:val="000000"/>
                <w:sz w:val="24"/>
              </w:rPr>
              <w:t>□</w:t>
            </w:r>
            <w:r w:rsidRPr="007A446E">
              <w:rPr>
                <w:rFonts w:ascii="Arial" w:hAnsi="Times" w:hint="eastAsia"/>
                <w:sz w:val="24"/>
              </w:rPr>
              <w:t>路演活动</w:t>
            </w:r>
          </w:p>
          <w:p w:rsidR="00EE1C10" w:rsidRPr="007A446E" w:rsidRDefault="00EE1C10" w:rsidP="008F16A2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7A446E">
              <w:rPr>
                <w:rFonts w:ascii="Arial" w:hAnsi="Arial" w:hint="eastAsia"/>
                <w:bCs/>
                <w:iCs/>
                <w:color w:val="000000"/>
                <w:sz w:val="24"/>
              </w:rPr>
              <w:t>□</w:t>
            </w:r>
            <w:r w:rsidRPr="007A446E">
              <w:rPr>
                <w:rFonts w:ascii="Arial" w:hAnsi="Times" w:hint="eastAsia"/>
                <w:sz w:val="24"/>
              </w:rPr>
              <w:t>现场参观</w:t>
            </w:r>
            <w:r w:rsidRPr="007A446E">
              <w:rPr>
                <w:rFonts w:ascii="Arial" w:hAnsi="Arial" w:hint="eastAsia"/>
                <w:bCs/>
                <w:iCs/>
                <w:color w:val="000000"/>
                <w:sz w:val="24"/>
              </w:rPr>
              <w:tab/>
            </w:r>
          </w:p>
          <w:p w:rsidR="00EE1C10" w:rsidRPr="007A446E" w:rsidRDefault="00217D1A" w:rsidP="00217D1A">
            <w:pPr>
              <w:tabs>
                <w:tab w:val="center" w:pos="3199"/>
              </w:tabs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7A446E">
              <w:rPr>
                <w:rFonts w:ascii="Arial" w:hAnsi="Arial" w:hint="eastAsia"/>
                <w:bCs/>
                <w:iCs/>
                <w:color w:val="000000"/>
                <w:sz w:val="24"/>
              </w:rPr>
              <w:t>□</w:t>
            </w:r>
            <w:r w:rsidR="00EE1C10" w:rsidRPr="007A446E">
              <w:rPr>
                <w:rFonts w:ascii="Arial" w:hAnsi="Times" w:hint="eastAsia"/>
                <w:sz w:val="24"/>
              </w:rPr>
              <w:t>其他</w:t>
            </w:r>
          </w:p>
        </w:tc>
      </w:tr>
      <w:tr w:rsidR="00EE1C10" w:rsidRPr="007A446E" w:rsidTr="008F16A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7A446E" w:rsidRDefault="00EE1C10" w:rsidP="008F16A2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7A446E">
              <w:rPr>
                <w:rFonts w:ascii="Arial" w:hAnsi="Times" w:hint="eastAsia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7A446E" w:rsidRDefault="00701559" w:rsidP="00B84A84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>
              <w:rPr>
                <w:rFonts w:ascii="Arial" w:hAnsi="Times" w:hint="eastAsia"/>
                <w:bCs/>
                <w:iCs/>
                <w:color w:val="000000"/>
                <w:sz w:val="24"/>
              </w:rPr>
              <w:t>德意志银行</w:t>
            </w:r>
          </w:p>
        </w:tc>
      </w:tr>
      <w:tr w:rsidR="00EE1C10" w:rsidRPr="007A446E" w:rsidTr="008F16A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7A446E" w:rsidRDefault="00EE1C10" w:rsidP="008F16A2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7A446E">
              <w:rPr>
                <w:rFonts w:ascii="Arial" w:hAnsi="Times" w:hint="eastAsia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7A446E" w:rsidRDefault="0043629D" w:rsidP="00701559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7A446E">
              <w:rPr>
                <w:rFonts w:ascii="Arial" w:hAnsi="Arial" w:hint="eastAsia"/>
                <w:bCs/>
                <w:iCs/>
                <w:color w:val="000000"/>
                <w:sz w:val="24"/>
              </w:rPr>
              <w:t>201</w:t>
            </w:r>
            <w:r w:rsidR="00862CF2" w:rsidRPr="007A446E">
              <w:rPr>
                <w:rFonts w:ascii="Arial" w:hAnsi="Arial"/>
                <w:bCs/>
                <w:iCs/>
                <w:color w:val="000000"/>
                <w:sz w:val="24"/>
              </w:rPr>
              <w:t>5</w:t>
            </w:r>
            <w:r w:rsidRPr="007A446E">
              <w:rPr>
                <w:rFonts w:ascii="Arial" w:hAnsi="Times" w:hint="eastAsia"/>
                <w:bCs/>
                <w:iCs/>
                <w:color w:val="000000"/>
                <w:sz w:val="24"/>
              </w:rPr>
              <w:t>年</w:t>
            </w:r>
            <w:r w:rsidR="00701559">
              <w:rPr>
                <w:rFonts w:ascii="Arial" w:hAnsi="Arial" w:hint="eastAsia"/>
                <w:bCs/>
                <w:iCs/>
                <w:color w:val="000000"/>
                <w:sz w:val="24"/>
              </w:rPr>
              <w:t>10</w:t>
            </w:r>
            <w:r w:rsidRPr="007A446E">
              <w:rPr>
                <w:rFonts w:ascii="Arial" w:hAnsi="Times" w:hint="eastAsia"/>
                <w:bCs/>
                <w:iCs/>
                <w:color w:val="000000"/>
                <w:sz w:val="24"/>
              </w:rPr>
              <w:t>月</w:t>
            </w:r>
            <w:r w:rsidR="00701559">
              <w:rPr>
                <w:rFonts w:ascii="Arial" w:hAnsi="Times" w:hint="eastAsia"/>
                <w:bCs/>
                <w:iCs/>
                <w:color w:val="000000"/>
                <w:sz w:val="24"/>
              </w:rPr>
              <w:t>27</w:t>
            </w:r>
            <w:r w:rsidRPr="007A446E">
              <w:rPr>
                <w:rFonts w:ascii="Arial" w:hAnsi="Times" w:hint="eastAsia"/>
                <w:bCs/>
                <w:iCs/>
                <w:color w:val="000000"/>
                <w:sz w:val="24"/>
              </w:rPr>
              <w:t>日</w:t>
            </w:r>
          </w:p>
        </w:tc>
      </w:tr>
      <w:tr w:rsidR="00EE1C10" w:rsidRPr="007A446E" w:rsidTr="008F16A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7A446E" w:rsidRDefault="00EE1C10" w:rsidP="008F16A2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7A446E">
              <w:rPr>
                <w:rFonts w:ascii="Arial" w:hAnsi="Times" w:hint="eastAsia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7A446E" w:rsidRDefault="00FE093E" w:rsidP="008F16A2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7A446E">
              <w:rPr>
                <w:rFonts w:ascii="Arial" w:hAnsi="Times" w:hint="eastAsia"/>
                <w:bCs/>
                <w:iCs/>
                <w:color w:val="000000"/>
                <w:sz w:val="24"/>
              </w:rPr>
              <w:t>深圳</w:t>
            </w:r>
          </w:p>
        </w:tc>
      </w:tr>
      <w:tr w:rsidR="00EE1C10" w:rsidRPr="007A446E" w:rsidTr="008F16A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7A446E" w:rsidRDefault="00EE1C10" w:rsidP="008F16A2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7A446E">
              <w:rPr>
                <w:rFonts w:ascii="Arial" w:hAnsi="Times" w:hint="eastAsia"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7A446E" w:rsidRDefault="007A446E" w:rsidP="00B708D6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7A446E">
              <w:rPr>
                <w:rFonts w:ascii="Arial" w:hAnsi="Times" w:hint="eastAsia"/>
                <w:bCs/>
                <w:iCs/>
                <w:color w:val="000000"/>
                <w:sz w:val="24"/>
              </w:rPr>
              <w:t>董事会办公室</w:t>
            </w:r>
          </w:p>
        </w:tc>
      </w:tr>
      <w:tr w:rsidR="00EE1C10" w:rsidRPr="007A446E" w:rsidTr="008F16A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7A446E" w:rsidRDefault="00EE1C10" w:rsidP="008F16A2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7A446E">
              <w:rPr>
                <w:rFonts w:ascii="Arial" w:hAnsi="Times" w:hint="eastAsia"/>
                <w:bCs/>
                <w:iCs/>
                <w:color w:val="000000"/>
                <w:sz w:val="24"/>
              </w:rPr>
              <w:t>投资者关系活动主要内容介绍</w:t>
            </w:r>
          </w:p>
          <w:p w:rsidR="00EE1C10" w:rsidRPr="007A446E" w:rsidRDefault="00EE1C10" w:rsidP="008F16A2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701559" w:rsidRDefault="00EE1C10" w:rsidP="008F16A2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701559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介绍公司发展战略、经营业绩，回答投资者提问</w:t>
            </w:r>
          </w:p>
          <w:p w:rsidR="00701559" w:rsidRPr="00701559" w:rsidRDefault="00701559" w:rsidP="00701559">
            <w:pPr>
              <w:pStyle w:val="30"/>
              <w:tabs>
                <w:tab w:val="clear" w:pos="540"/>
                <w:tab w:val="left" w:pos="0"/>
              </w:tabs>
              <w:spacing w:beforeLines="150" w:afterLines="50" w:line="240" w:lineRule="auto"/>
              <w:ind w:left="420" w:hanging="420"/>
              <w:jc w:val="left"/>
              <w:outlineLvl w:val="2"/>
            </w:pPr>
            <w:bookmarkStart w:id="0" w:name="_Toc433106851"/>
            <w:r w:rsidRPr="00701559">
              <w:rPr>
                <w:rFonts w:hint="eastAsia"/>
              </w:rPr>
              <w:t>贵行零售业务的发展策略和主要成果</w:t>
            </w:r>
            <w:bookmarkEnd w:id="0"/>
          </w:p>
          <w:p w:rsidR="00701559" w:rsidRPr="00701559" w:rsidRDefault="00701559" w:rsidP="00701559">
            <w:pPr>
              <w:adjustRightInd w:val="0"/>
              <w:snapToGrid w:val="0"/>
              <w:spacing w:afterLines="20"/>
              <w:ind w:firstLineChars="200" w:firstLine="442"/>
              <w:jc w:val="left"/>
              <w:rPr>
                <w:rFonts w:asciiTheme="minorEastAsia" w:eastAsiaTheme="minorEastAsia" w:hAnsiTheme="minorEastAsia" w:cs="楷体_GB2312"/>
                <w:color w:val="000000" w:themeColor="text1"/>
                <w:sz w:val="22"/>
                <w:szCs w:val="22"/>
              </w:rPr>
            </w:pPr>
            <w:r w:rsidRPr="00701559">
              <w:rPr>
                <w:rFonts w:asciiTheme="minorEastAsia" w:eastAsiaTheme="minorEastAsia" w:hAnsiTheme="minorEastAsia" w:cs="楷体_GB2312" w:hint="eastAsia"/>
                <w:b/>
                <w:color w:val="000000" w:themeColor="text1"/>
                <w:sz w:val="22"/>
                <w:szCs w:val="22"/>
              </w:rPr>
              <w:t>【经营成果】：</w:t>
            </w:r>
            <w:r w:rsidRPr="00701559">
              <w:rPr>
                <w:rFonts w:asciiTheme="minorEastAsia" w:eastAsiaTheme="minorEastAsia" w:hAnsiTheme="minorEastAsia" w:cs="楷体_GB2312"/>
                <w:color w:val="000000" w:themeColor="text1"/>
                <w:sz w:val="22"/>
                <w:szCs w:val="22"/>
              </w:rPr>
              <w:t>截至报告期末</w:t>
            </w:r>
            <w:r w:rsidRPr="00701559">
              <w:rPr>
                <w:rFonts w:asciiTheme="minorEastAsia" w:eastAsiaTheme="minorEastAsia" w:hAnsiTheme="minorEastAsia" w:cs="楷体_GB2312" w:hint="eastAsia"/>
                <w:color w:val="000000" w:themeColor="text1"/>
                <w:sz w:val="22"/>
                <w:szCs w:val="22"/>
              </w:rPr>
              <w:t>，零售存款余额较年初增长4</w:t>
            </w:r>
            <w:r w:rsidRPr="00701559">
              <w:rPr>
                <w:rFonts w:asciiTheme="minorEastAsia" w:eastAsiaTheme="minorEastAsia" w:hAnsiTheme="minorEastAsia" w:cs="楷体_GB2312"/>
                <w:color w:val="000000" w:themeColor="text1"/>
                <w:sz w:val="22"/>
                <w:szCs w:val="22"/>
              </w:rPr>
              <w:t>%</w:t>
            </w:r>
            <w:r w:rsidRPr="00701559">
              <w:rPr>
                <w:rFonts w:asciiTheme="minorEastAsia" w:eastAsiaTheme="minorEastAsia" w:hAnsiTheme="minorEastAsia" w:cs="楷体_GB2312" w:hint="eastAsia"/>
                <w:color w:val="000000" w:themeColor="text1"/>
                <w:sz w:val="22"/>
                <w:szCs w:val="22"/>
              </w:rPr>
              <w:t>，零售贷款（含信用卡）余额较年初增长12</w:t>
            </w:r>
            <w:r w:rsidRPr="00701559">
              <w:rPr>
                <w:rFonts w:asciiTheme="minorEastAsia" w:eastAsiaTheme="minorEastAsia" w:hAnsiTheme="minorEastAsia" w:cs="楷体_GB2312"/>
                <w:color w:val="000000" w:themeColor="text1"/>
                <w:sz w:val="22"/>
                <w:szCs w:val="22"/>
              </w:rPr>
              <w:t>%</w:t>
            </w:r>
            <w:r w:rsidRPr="00701559">
              <w:rPr>
                <w:rFonts w:asciiTheme="minorEastAsia" w:eastAsiaTheme="minorEastAsia" w:hAnsiTheme="minorEastAsia" w:cs="楷体_GB2312" w:hint="eastAsia"/>
                <w:color w:val="000000" w:themeColor="text1"/>
                <w:sz w:val="22"/>
                <w:szCs w:val="22"/>
              </w:rPr>
              <w:t>；私行客户数1.31万户，较年初增长30%；财富客户数26.8万户，较年初增长18%；结算客户数447万户，较年初增长16%；整体管理客户资产6,197亿元规模，较年初增长23%。</w:t>
            </w:r>
          </w:p>
          <w:p w:rsidR="00701559" w:rsidRPr="00701559" w:rsidRDefault="00701559" w:rsidP="00701559">
            <w:pPr>
              <w:adjustRightInd w:val="0"/>
              <w:snapToGrid w:val="0"/>
              <w:spacing w:afterLines="20"/>
              <w:ind w:firstLineChars="200" w:firstLine="442"/>
              <w:jc w:val="left"/>
              <w:rPr>
                <w:rFonts w:asciiTheme="minorEastAsia" w:eastAsiaTheme="minorEastAsia" w:hAnsiTheme="minorEastAsia" w:cs="楷体_GB2312"/>
                <w:color w:val="000000" w:themeColor="text1"/>
                <w:sz w:val="22"/>
                <w:szCs w:val="22"/>
                <w:highlight w:val="yellow"/>
              </w:rPr>
            </w:pPr>
            <w:r w:rsidRPr="00701559">
              <w:rPr>
                <w:rFonts w:asciiTheme="minorEastAsia" w:eastAsiaTheme="minorEastAsia" w:hAnsiTheme="minorEastAsia" w:cs="楷体_GB2312" w:hint="eastAsia"/>
                <w:b/>
                <w:color w:val="000000" w:themeColor="text1"/>
                <w:sz w:val="22"/>
                <w:szCs w:val="22"/>
              </w:rPr>
              <w:t>【综拓方面】</w:t>
            </w:r>
            <w:r w:rsidRPr="00701559">
              <w:rPr>
                <w:rFonts w:asciiTheme="minorEastAsia" w:eastAsiaTheme="minorEastAsia" w:hAnsiTheme="minorEastAsia" w:cs="楷体_GB2312" w:hint="eastAsia"/>
                <w:color w:val="000000" w:themeColor="text1"/>
                <w:sz w:val="22"/>
                <w:szCs w:val="22"/>
              </w:rPr>
              <w:t>：零售</w:t>
            </w:r>
            <w:proofErr w:type="gramStart"/>
            <w:r w:rsidRPr="00701559">
              <w:rPr>
                <w:rFonts w:asciiTheme="minorEastAsia" w:eastAsiaTheme="minorEastAsia" w:hAnsiTheme="minorEastAsia" w:cs="楷体_GB2312" w:hint="eastAsia"/>
                <w:color w:val="000000" w:themeColor="text1"/>
                <w:sz w:val="22"/>
                <w:szCs w:val="22"/>
              </w:rPr>
              <w:t>寿险综拓新</w:t>
            </w:r>
            <w:proofErr w:type="gramEnd"/>
            <w:r w:rsidRPr="00701559">
              <w:rPr>
                <w:rFonts w:asciiTheme="minorEastAsia" w:eastAsiaTheme="minorEastAsia" w:hAnsiTheme="minorEastAsia" w:cs="楷体_GB2312" w:hint="eastAsia"/>
                <w:color w:val="000000" w:themeColor="text1"/>
                <w:sz w:val="22"/>
                <w:szCs w:val="22"/>
              </w:rPr>
              <w:t>模式、集团销信用卡、银行销保险、银</w:t>
            </w:r>
            <w:proofErr w:type="gramStart"/>
            <w:r w:rsidRPr="00701559">
              <w:rPr>
                <w:rFonts w:asciiTheme="minorEastAsia" w:eastAsiaTheme="minorEastAsia" w:hAnsiTheme="minorEastAsia" w:cs="楷体_GB2312" w:hint="eastAsia"/>
                <w:color w:val="000000" w:themeColor="text1"/>
                <w:sz w:val="22"/>
                <w:szCs w:val="22"/>
              </w:rPr>
              <w:t>证合作</w:t>
            </w:r>
            <w:proofErr w:type="gramEnd"/>
            <w:r w:rsidRPr="00701559">
              <w:rPr>
                <w:rFonts w:asciiTheme="minorEastAsia" w:eastAsiaTheme="minorEastAsia" w:hAnsiTheme="minorEastAsia" w:cs="楷体_GB2312" w:hint="eastAsia"/>
                <w:color w:val="000000" w:themeColor="text1"/>
                <w:sz w:val="22"/>
                <w:szCs w:val="22"/>
              </w:rPr>
              <w:t>等综合金融业绩继续保持增长。截止报告期末，</w:t>
            </w:r>
            <w:proofErr w:type="gramStart"/>
            <w:r w:rsidRPr="00701559">
              <w:rPr>
                <w:rFonts w:asciiTheme="minorEastAsia" w:eastAsiaTheme="minorEastAsia" w:hAnsiTheme="minorEastAsia" w:cs="楷体_GB2312" w:hint="eastAsia"/>
                <w:color w:val="000000" w:themeColor="text1"/>
                <w:sz w:val="22"/>
                <w:szCs w:val="22"/>
              </w:rPr>
              <w:t>综拓渠道</w:t>
            </w:r>
            <w:proofErr w:type="gramEnd"/>
            <w:r w:rsidRPr="00701559">
              <w:rPr>
                <w:rFonts w:asciiTheme="minorEastAsia" w:eastAsiaTheme="minorEastAsia" w:hAnsiTheme="minorEastAsia" w:cs="楷体_GB2312" w:hint="eastAsia"/>
                <w:color w:val="000000" w:themeColor="text1"/>
                <w:sz w:val="22"/>
                <w:szCs w:val="22"/>
              </w:rPr>
              <w:t>迁徙客</w:t>
            </w:r>
            <w:r w:rsidRPr="00701559">
              <w:rPr>
                <w:rFonts w:asciiTheme="minorEastAsia" w:eastAsiaTheme="minorEastAsia" w:hAnsiTheme="minorEastAsia" w:cs="楷体_GB2312"/>
                <w:color w:val="000000" w:themeColor="text1"/>
                <w:sz w:val="22"/>
                <w:szCs w:val="22"/>
              </w:rPr>
              <w:t>户</w:t>
            </w:r>
            <w:r w:rsidRPr="00701559">
              <w:rPr>
                <w:rFonts w:asciiTheme="minorEastAsia" w:eastAsiaTheme="minorEastAsia" w:hAnsiTheme="minorEastAsia" w:cs="楷体_GB2312" w:hint="eastAsia"/>
                <w:color w:val="000000" w:themeColor="text1"/>
                <w:sz w:val="22"/>
                <w:szCs w:val="22"/>
              </w:rPr>
              <w:t>87</w:t>
            </w:r>
            <w:r w:rsidRPr="00701559">
              <w:rPr>
                <w:rFonts w:asciiTheme="minorEastAsia" w:eastAsiaTheme="minorEastAsia" w:hAnsiTheme="minorEastAsia" w:cs="楷体_GB2312"/>
                <w:color w:val="000000" w:themeColor="text1"/>
                <w:sz w:val="22"/>
                <w:szCs w:val="22"/>
              </w:rPr>
              <w:t>万，财富客户较年初增加</w:t>
            </w:r>
            <w:r w:rsidRPr="00701559">
              <w:rPr>
                <w:rFonts w:asciiTheme="minorEastAsia" w:eastAsiaTheme="minorEastAsia" w:hAnsiTheme="minorEastAsia" w:cs="楷体_GB2312" w:hint="eastAsia"/>
                <w:color w:val="000000" w:themeColor="text1"/>
                <w:sz w:val="22"/>
                <w:szCs w:val="22"/>
              </w:rPr>
              <w:t>16375</w:t>
            </w:r>
            <w:r w:rsidRPr="00701559">
              <w:rPr>
                <w:rFonts w:asciiTheme="minorEastAsia" w:eastAsiaTheme="minorEastAsia" w:hAnsiTheme="minorEastAsia" w:cs="楷体_GB2312"/>
                <w:color w:val="000000" w:themeColor="text1"/>
                <w:sz w:val="22"/>
                <w:szCs w:val="22"/>
              </w:rPr>
              <w:t>户，客户资产增加</w:t>
            </w:r>
            <w:r w:rsidRPr="00701559">
              <w:rPr>
                <w:rFonts w:asciiTheme="minorEastAsia" w:eastAsiaTheme="minorEastAsia" w:hAnsiTheme="minorEastAsia" w:cs="楷体_GB2312" w:hint="eastAsia"/>
                <w:color w:val="000000" w:themeColor="text1"/>
                <w:sz w:val="22"/>
                <w:szCs w:val="22"/>
              </w:rPr>
              <w:t>335</w:t>
            </w:r>
            <w:r w:rsidRPr="00701559">
              <w:rPr>
                <w:rFonts w:asciiTheme="minorEastAsia" w:eastAsiaTheme="minorEastAsia" w:hAnsiTheme="minorEastAsia" w:cs="楷体_GB2312"/>
                <w:color w:val="000000" w:themeColor="text1"/>
                <w:sz w:val="22"/>
                <w:szCs w:val="22"/>
              </w:rPr>
              <w:t>亿</w:t>
            </w:r>
            <w:r w:rsidRPr="00701559">
              <w:rPr>
                <w:rFonts w:asciiTheme="minorEastAsia" w:eastAsiaTheme="minorEastAsia" w:hAnsiTheme="minorEastAsia" w:cs="楷体_GB2312" w:hint="eastAsia"/>
                <w:color w:val="000000" w:themeColor="text1"/>
                <w:sz w:val="22"/>
                <w:szCs w:val="22"/>
              </w:rPr>
              <w:t>元</w:t>
            </w:r>
            <w:r w:rsidRPr="00701559">
              <w:rPr>
                <w:rFonts w:asciiTheme="minorEastAsia" w:eastAsiaTheme="minorEastAsia" w:hAnsiTheme="minorEastAsia" w:cs="楷体_GB2312"/>
                <w:color w:val="000000" w:themeColor="text1"/>
                <w:sz w:val="22"/>
                <w:szCs w:val="22"/>
              </w:rPr>
              <w:t>，存款增加77亿</w:t>
            </w:r>
            <w:r w:rsidRPr="00701559">
              <w:rPr>
                <w:rFonts w:asciiTheme="minorEastAsia" w:eastAsiaTheme="minorEastAsia" w:hAnsiTheme="minorEastAsia" w:cs="楷体_GB2312" w:hint="eastAsia"/>
                <w:color w:val="000000" w:themeColor="text1"/>
                <w:sz w:val="22"/>
                <w:szCs w:val="22"/>
              </w:rPr>
              <w:t>元</w:t>
            </w:r>
            <w:r w:rsidRPr="00701559">
              <w:rPr>
                <w:rFonts w:asciiTheme="minorEastAsia" w:eastAsiaTheme="minorEastAsia" w:hAnsiTheme="minorEastAsia" w:cs="楷体_GB2312"/>
                <w:color w:val="000000" w:themeColor="text1"/>
                <w:sz w:val="22"/>
                <w:szCs w:val="22"/>
              </w:rPr>
              <w:t>，新获客户</w:t>
            </w:r>
            <w:proofErr w:type="gramStart"/>
            <w:r w:rsidRPr="00701559">
              <w:rPr>
                <w:rFonts w:asciiTheme="minorEastAsia" w:eastAsiaTheme="minorEastAsia" w:hAnsiTheme="minorEastAsia" w:cs="楷体_GB2312"/>
                <w:color w:val="000000" w:themeColor="text1"/>
                <w:sz w:val="22"/>
                <w:szCs w:val="22"/>
              </w:rPr>
              <w:t>均资产</w:t>
            </w:r>
            <w:proofErr w:type="gramEnd"/>
            <w:r w:rsidRPr="00701559">
              <w:rPr>
                <w:rFonts w:asciiTheme="minorEastAsia" w:eastAsiaTheme="minorEastAsia" w:hAnsiTheme="minorEastAsia" w:cs="楷体_GB2312"/>
                <w:color w:val="000000" w:themeColor="text1"/>
                <w:sz w:val="22"/>
                <w:szCs w:val="22"/>
              </w:rPr>
              <w:t>继续大幅提升，对</w:t>
            </w:r>
            <w:r w:rsidRPr="00701559">
              <w:rPr>
                <w:rFonts w:asciiTheme="minorEastAsia" w:eastAsiaTheme="minorEastAsia" w:hAnsiTheme="minorEastAsia" w:cs="楷体_GB2312" w:hint="eastAsia"/>
                <w:color w:val="000000" w:themeColor="text1"/>
                <w:sz w:val="22"/>
                <w:szCs w:val="22"/>
              </w:rPr>
              <w:t>零售</w:t>
            </w:r>
            <w:r w:rsidRPr="00701559">
              <w:rPr>
                <w:rFonts w:asciiTheme="minorEastAsia" w:eastAsiaTheme="minorEastAsia" w:hAnsiTheme="minorEastAsia" w:cs="楷体_GB2312"/>
                <w:color w:val="000000" w:themeColor="text1"/>
                <w:sz w:val="22"/>
                <w:szCs w:val="22"/>
              </w:rPr>
              <w:t>的新增客户、财富客户数、资产和存款贡献度占比分别达</w:t>
            </w:r>
            <w:r w:rsidRPr="00701559">
              <w:rPr>
                <w:rFonts w:asciiTheme="minorEastAsia" w:eastAsiaTheme="minorEastAsia" w:hAnsiTheme="minorEastAsia" w:cs="楷体_GB2312" w:hint="eastAsia"/>
                <w:color w:val="000000" w:themeColor="text1"/>
                <w:sz w:val="22"/>
                <w:szCs w:val="22"/>
              </w:rPr>
              <w:t>14</w:t>
            </w:r>
            <w:r w:rsidRPr="00701559">
              <w:rPr>
                <w:rFonts w:asciiTheme="minorEastAsia" w:eastAsiaTheme="minorEastAsia" w:hAnsiTheme="minorEastAsia" w:cs="楷体_GB2312"/>
                <w:color w:val="000000" w:themeColor="text1"/>
                <w:sz w:val="22"/>
                <w:szCs w:val="22"/>
              </w:rPr>
              <w:t>%、4</w:t>
            </w:r>
            <w:r w:rsidRPr="00701559">
              <w:rPr>
                <w:rFonts w:asciiTheme="minorEastAsia" w:eastAsiaTheme="minorEastAsia" w:hAnsiTheme="minorEastAsia" w:cs="楷体_GB2312" w:hint="eastAsia"/>
                <w:color w:val="000000" w:themeColor="text1"/>
                <w:sz w:val="22"/>
                <w:szCs w:val="22"/>
              </w:rPr>
              <w:t>0</w:t>
            </w:r>
            <w:r w:rsidRPr="00701559">
              <w:rPr>
                <w:rFonts w:asciiTheme="minorEastAsia" w:eastAsiaTheme="minorEastAsia" w:hAnsiTheme="minorEastAsia" w:cs="楷体_GB2312"/>
                <w:color w:val="000000" w:themeColor="text1"/>
                <w:sz w:val="22"/>
                <w:szCs w:val="22"/>
              </w:rPr>
              <w:t>%、</w:t>
            </w:r>
            <w:r w:rsidRPr="00701559">
              <w:rPr>
                <w:rFonts w:asciiTheme="minorEastAsia" w:eastAsiaTheme="minorEastAsia" w:hAnsiTheme="minorEastAsia" w:cs="楷体_GB2312" w:hint="eastAsia"/>
                <w:color w:val="000000" w:themeColor="text1"/>
                <w:sz w:val="22"/>
                <w:szCs w:val="22"/>
              </w:rPr>
              <w:t>28</w:t>
            </w:r>
            <w:r w:rsidRPr="00701559">
              <w:rPr>
                <w:rFonts w:asciiTheme="minorEastAsia" w:eastAsiaTheme="minorEastAsia" w:hAnsiTheme="minorEastAsia" w:cs="楷体_GB2312"/>
                <w:color w:val="000000" w:themeColor="text1"/>
                <w:sz w:val="22"/>
                <w:szCs w:val="22"/>
              </w:rPr>
              <w:t>%和</w:t>
            </w:r>
            <w:r w:rsidRPr="00701559">
              <w:rPr>
                <w:rFonts w:asciiTheme="minorEastAsia" w:eastAsiaTheme="minorEastAsia" w:hAnsiTheme="minorEastAsia" w:cs="楷体_GB2312" w:hint="eastAsia"/>
                <w:color w:val="000000" w:themeColor="text1"/>
                <w:sz w:val="22"/>
                <w:szCs w:val="22"/>
              </w:rPr>
              <w:t>77</w:t>
            </w:r>
            <w:r w:rsidRPr="00701559">
              <w:rPr>
                <w:rFonts w:asciiTheme="minorEastAsia" w:eastAsiaTheme="minorEastAsia" w:hAnsiTheme="minorEastAsia" w:cs="楷体_GB2312"/>
                <w:color w:val="000000" w:themeColor="text1"/>
                <w:sz w:val="22"/>
                <w:szCs w:val="22"/>
              </w:rPr>
              <w:t>%；信用卡为集团旗下兄弟公司增加了一类天然</w:t>
            </w:r>
            <w:proofErr w:type="gramStart"/>
            <w:r w:rsidRPr="00701559">
              <w:rPr>
                <w:rFonts w:asciiTheme="minorEastAsia" w:eastAsiaTheme="minorEastAsia" w:hAnsiTheme="minorEastAsia" w:cs="楷体_GB2312"/>
                <w:color w:val="000000" w:themeColor="text1"/>
                <w:sz w:val="22"/>
                <w:szCs w:val="22"/>
              </w:rPr>
              <w:t>的获客产品</w:t>
            </w:r>
            <w:proofErr w:type="gramEnd"/>
            <w:r w:rsidRPr="00701559">
              <w:rPr>
                <w:rFonts w:asciiTheme="minorEastAsia" w:eastAsiaTheme="minorEastAsia" w:hAnsiTheme="minorEastAsia" w:cs="楷体_GB2312"/>
                <w:color w:val="000000" w:themeColor="text1"/>
                <w:sz w:val="22"/>
                <w:szCs w:val="22"/>
              </w:rPr>
              <w:t>，银行通过交叉销售</w:t>
            </w:r>
            <w:proofErr w:type="gramStart"/>
            <w:r w:rsidRPr="00701559">
              <w:rPr>
                <w:rFonts w:asciiTheme="minorEastAsia" w:eastAsiaTheme="minorEastAsia" w:hAnsiTheme="minorEastAsia" w:cs="楷体_GB2312"/>
                <w:color w:val="000000" w:themeColor="text1"/>
                <w:sz w:val="22"/>
                <w:szCs w:val="22"/>
              </w:rPr>
              <w:t>渠道获客</w:t>
            </w:r>
            <w:proofErr w:type="gramEnd"/>
            <w:r w:rsidRPr="00701559">
              <w:rPr>
                <w:rFonts w:asciiTheme="minorEastAsia" w:eastAsiaTheme="minorEastAsia" w:hAnsiTheme="minorEastAsia" w:cs="楷体_GB2312"/>
                <w:color w:val="000000" w:themeColor="text1"/>
                <w:sz w:val="22"/>
                <w:szCs w:val="22"/>
              </w:rPr>
              <w:t>占新增发卡量的34%；</w:t>
            </w:r>
            <w:proofErr w:type="gramStart"/>
            <w:r w:rsidRPr="00701559">
              <w:rPr>
                <w:rFonts w:asciiTheme="minorEastAsia" w:eastAsiaTheme="minorEastAsia" w:hAnsiTheme="minorEastAsia" w:cs="楷体_GB2312"/>
                <w:color w:val="000000" w:themeColor="text1"/>
                <w:sz w:val="22"/>
                <w:szCs w:val="22"/>
              </w:rPr>
              <w:t>零售全渠道</w:t>
            </w:r>
            <w:proofErr w:type="gramEnd"/>
            <w:r w:rsidRPr="00701559">
              <w:rPr>
                <w:rFonts w:asciiTheme="minorEastAsia" w:eastAsiaTheme="minorEastAsia" w:hAnsiTheme="minorEastAsia" w:cs="楷体_GB2312"/>
                <w:color w:val="000000" w:themeColor="text1"/>
                <w:sz w:val="22"/>
                <w:szCs w:val="22"/>
              </w:rPr>
              <w:t>代销集团保险累计实现中收</w:t>
            </w:r>
            <w:r w:rsidRPr="00701559">
              <w:rPr>
                <w:rFonts w:asciiTheme="minorEastAsia" w:eastAsiaTheme="minorEastAsia" w:hAnsiTheme="minorEastAsia" w:cs="楷体_GB2312" w:hint="eastAsia"/>
                <w:color w:val="000000" w:themeColor="text1"/>
                <w:sz w:val="22"/>
                <w:szCs w:val="22"/>
              </w:rPr>
              <w:t>4.27</w:t>
            </w:r>
            <w:r w:rsidRPr="00701559">
              <w:rPr>
                <w:rFonts w:asciiTheme="minorEastAsia" w:eastAsiaTheme="minorEastAsia" w:hAnsiTheme="minorEastAsia" w:cs="楷体_GB2312"/>
                <w:color w:val="000000" w:themeColor="text1"/>
                <w:sz w:val="22"/>
                <w:szCs w:val="22"/>
              </w:rPr>
              <w:t>亿元；深化与券商合作，成功打造</w:t>
            </w:r>
            <w:r w:rsidRPr="00701559">
              <w:rPr>
                <w:rFonts w:asciiTheme="minorEastAsia" w:eastAsiaTheme="minorEastAsia" w:hAnsiTheme="minorEastAsia" w:cs="楷体_GB2312" w:hint="eastAsia"/>
                <w:color w:val="000000" w:themeColor="text1"/>
                <w:sz w:val="22"/>
                <w:szCs w:val="22"/>
              </w:rPr>
              <w:t>“</w:t>
            </w:r>
            <w:r w:rsidRPr="00701559">
              <w:rPr>
                <w:rFonts w:asciiTheme="minorEastAsia" w:eastAsiaTheme="minorEastAsia" w:hAnsiTheme="minorEastAsia" w:cs="楷体_GB2312"/>
                <w:color w:val="000000" w:themeColor="text1"/>
                <w:sz w:val="22"/>
                <w:szCs w:val="22"/>
              </w:rPr>
              <w:t>银证e家</w:t>
            </w:r>
            <w:r w:rsidRPr="00701559">
              <w:rPr>
                <w:rFonts w:asciiTheme="minorEastAsia" w:eastAsiaTheme="minorEastAsia" w:hAnsiTheme="minorEastAsia" w:cs="楷体_GB2312" w:hint="eastAsia"/>
                <w:color w:val="000000" w:themeColor="text1"/>
                <w:sz w:val="22"/>
                <w:szCs w:val="22"/>
              </w:rPr>
              <w:t>”</w:t>
            </w:r>
            <w:r w:rsidRPr="00701559">
              <w:rPr>
                <w:rFonts w:asciiTheme="minorEastAsia" w:eastAsiaTheme="minorEastAsia" w:hAnsiTheme="minorEastAsia" w:cs="楷体_GB2312"/>
                <w:color w:val="000000" w:themeColor="text1"/>
                <w:sz w:val="22"/>
                <w:szCs w:val="22"/>
              </w:rPr>
              <w:t>差异化三管业务品牌，推出预约理财、7*24小时等三管业务特色产品及功能</w:t>
            </w:r>
            <w:r w:rsidRPr="00701559">
              <w:rPr>
                <w:rFonts w:asciiTheme="minorEastAsia" w:eastAsiaTheme="minorEastAsia" w:hAnsiTheme="minorEastAsia" w:cs="楷体_GB2312" w:hint="eastAsia"/>
                <w:color w:val="000000" w:themeColor="text1"/>
                <w:sz w:val="22"/>
                <w:szCs w:val="22"/>
              </w:rPr>
              <w:t>。</w:t>
            </w:r>
            <w:r w:rsidRPr="00701559">
              <w:rPr>
                <w:rFonts w:asciiTheme="minorEastAsia" w:eastAsiaTheme="minorEastAsia" w:hAnsiTheme="minorEastAsia" w:cs="楷体_GB2312"/>
                <w:color w:val="000000" w:themeColor="text1"/>
                <w:sz w:val="22"/>
                <w:szCs w:val="22"/>
              </w:rPr>
              <w:t>截至报告期末，新签约</w:t>
            </w:r>
            <w:r w:rsidRPr="00701559">
              <w:rPr>
                <w:rFonts w:asciiTheme="minorEastAsia" w:eastAsiaTheme="minorEastAsia" w:hAnsiTheme="minorEastAsia" w:cs="楷体_GB2312" w:hint="eastAsia"/>
                <w:color w:val="000000" w:themeColor="text1"/>
                <w:sz w:val="22"/>
                <w:szCs w:val="22"/>
              </w:rPr>
              <w:t>平安证券</w:t>
            </w:r>
            <w:r w:rsidRPr="00701559">
              <w:rPr>
                <w:rFonts w:asciiTheme="minorEastAsia" w:eastAsiaTheme="minorEastAsia" w:hAnsiTheme="minorEastAsia" w:cs="楷体_GB2312"/>
                <w:color w:val="000000" w:themeColor="text1"/>
                <w:sz w:val="22"/>
                <w:szCs w:val="22"/>
              </w:rPr>
              <w:t>三</w:t>
            </w:r>
            <w:proofErr w:type="gramStart"/>
            <w:r w:rsidRPr="00701559">
              <w:rPr>
                <w:rFonts w:asciiTheme="minorEastAsia" w:eastAsiaTheme="minorEastAsia" w:hAnsiTheme="minorEastAsia" w:cs="楷体_GB2312"/>
                <w:color w:val="000000" w:themeColor="text1"/>
                <w:sz w:val="22"/>
                <w:szCs w:val="22"/>
              </w:rPr>
              <w:t>管客户</w:t>
            </w:r>
            <w:proofErr w:type="gramEnd"/>
            <w:r w:rsidRPr="00701559">
              <w:rPr>
                <w:rFonts w:asciiTheme="minorEastAsia" w:eastAsiaTheme="minorEastAsia" w:hAnsiTheme="minorEastAsia" w:cs="楷体_GB2312"/>
                <w:color w:val="000000" w:themeColor="text1"/>
                <w:sz w:val="22"/>
                <w:szCs w:val="22"/>
              </w:rPr>
              <w:t>43.56万户，是上年同期的20倍。</w:t>
            </w:r>
          </w:p>
          <w:p w:rsidR="00701559" w:rsidRPr="00701559" w:rsidRDefault="00701559" w:rsidP="00701559">
            <w:pPr>
              <w:adjustRightInd w:val="0"/>
              <w:snapToGrid w:val="0"/>
              <w:spacing w:afterLines="20"/>
              <w:ind w:firstLineChars="200" w:firstLine="442"/>
              <w:jc w:val="left"/>
              <w:rPr>
                <w:rFonts w:asciiTheme="minorEastAsia" w:eastAsiaTheme="minorEastAsia" w:hAnsiTheme="minorEastAsia" w:cs="楷体_GB2312"/>
                <w:color w:val="000000" w:themeColor="text1"/>
                <w:sz w:val="22"/>
                <w:szCs w:val="22"/>
              </w:rPr>
            </w:pPr>
            <w:r w:rsidRPr="00701559">
              <w:rPr>
                <w:rFonts w:asciiTheme="minorEastAsia" w:eastAsiaTheme="minorEastAsia" w:hAnsiTheme="minorEastAsia" w:cs="楷体_GB2312" w:hint="eastAsia"/>
                <w:b/>
                <w:color w:val="000000" w:themeColor="text1"/>
                <w:sz w:val="22"/>
                <w:szCs w:val="22"/>
              </w:rPr>
              <w:t>【发展战略】：</w:t>
            </w:r>
            <w:r w:rsidRPr="00701559">
              <w:rPr>
                <w:rFonts w:asciiTheme="minorEastAsia" w:eastAsiaTheme="minorEastAsia" w:hAnsiTheme="minorEastAsia" w:cs="楷体_GB2312" w:hint="eastAsia"/>
                <w:color w:val="000000" w:themeColor="text1"/>
                <w:sz w:val="22"/>
                <w:szCs w:val="22"/>
              </w:rPr>
              <w:t>在非零售业务保持快速发展的同时，依托集团综合金融优势，进一步加快客户迁徙转化，同时利用好专业平台网</w:t>
            </w:r>
            <w:r w:rsidRPr="00701559">
              <w:rPr>
                <w:rFonts w:asciiTheme="minorEastAsia" w:eastAsiaTheme="minorEastAsia" w:hAnsiTheme="minorEastAsia" w:cs="楷体_GB2312" w:hint="eastAsia"/>
                <w:color w:val="000000" w:themeColor="text1"/>
                <w:sz w:val="22"/>
                <w:szCs w:val="22"/>
              </w:rPr>
              <w:lastRenderedPageBreak/>
              <w:t>络、全牌照产品和通道资源，持续夯实零售业务基础。</w:t>
            </w:r>
          </w:p>
          <w:p w:rsidR="00701559" w:rsidRPr="00701559" w:rsidRDefault="00701559" w:rsidP="00701559">
            <w:pPr>
              <w:adjustRightInd w:val="0"/>
              <w:snapToGrid w:val="0"/>
              <w:spacing w:afterLines="20"/>
              <w:ind w:firstLineChars="200" w:firstLine="440"/>
              <w:jc w:val="left"/>
              <w:rPr>
                <w:rFonts w:asciiTheme="minorEastAsia" w:eastAsiaTheme="minorEastAsia" w:hAnsiTheme="minorEastAsia" w:cs="楷体_GB2312"/>
                <w:color w:val="000000" w:themeColor="text1"/>
                <w:sz w:val="22"/>
                <w:szCs w:val="22"/>
              </w:rPr>
            </w:pPr>
          </w:p>
          <w:p w:rsidR="00701559" w:rsidRPr="00701559" w:rsidRDefault="00701559" w:rsidP="00701559">
            <w:pPr>
              <w:pStyle w:val="30"/>
              <w:tabs>
                <w:tab w:val="clear" w:pos="540"/>
                <w:tab w:val="left" w:pos="0"/>
              </w:tabs>
              <w:spacing w:beforeLines="150" w:afterLines="50" w:line="240" w:lineRule="auto"/>
              <w:ind w:left="420" w:hanging="420"/>
              <w:jc w:val="left"/>
              <w:outlineLvl w:val="2"/>
            </w:pPr>
            <w:bookmarkStart w:id="1" w:name="_Toc395605235"/>
            <w:bookmarkStart w:id="2" w:name="_Toc433106856"/>
            <w:r w:rsidRPr="00701559">
              <w:t>2015</w:t>
            </w:r>
            <w:r w:rsidRPr="00701559">
              <w:rPr>
                <w:rFonts w:hint="eastAsia"/>
              </w:rPr>
              <w:t>年前三季度存款增长的主要动力？全年增长目标？</w:t>
            </w:r>
            <w:bookmarkEnd w:id="1"/>
            <w:bookmarkEnd w:id="2"/>
          </w:p>
          <w:p w:rsidR="00701559" w:rsidRPr="00701559" w:rsidRDefault="00701559" w:rsidP="00701559">
            <w:pPr>
              <w:adjustRightInd w:val="0"/>
              <w:snapToGrid w:val="0"/>
              <w:spacing w:afterLines="20"/>
              <w:ind w:firstLineChars="200" w:firstLine="442"/>
              <w:jc w:val="left"/>
              <w:rPr>
                <w:rFonts w:asciiTheme="minorEastAsia" w:eastAsiaTheme="minorEastAsia" w:hAnsiTheme="minorEastAsia" w:cs="楷体_GB2312"/>
                <w:color w:val="000000" w:themeColor="text1"/>
                <w:sz w:val="22"/>
                <w:szCs w:val="22"/>
              </w:rPr>
            </w:pPr>
            <w:r w:rsidRPr="00701559">
              <w:rPr>
                <w:rFonts w:asciiTheme="minorEastAsia" w:eastAsiaTheme="minorEastAsia" w:hAnsiTheme="minorEastAsia" w:cs="楷体_GB2312"/>
                <w:b/>
                <w:color w:val="000000" w:themeColor="text1"/>
                <w:sz w:val="22"/>
                <w:szCs w:val="22"/>
              </w:rPr>
              <w:t>1</w:t>
            </w:r>
            <w:r w:rsidRPr="00701559">
              <w:rPr>
                <w:rFonts w:asciiTheme="minorEastAsia" w:eastAsiaTheme="minorEastAsia" w:hAnsiTheme="minorEastAsia" w:cs="楷体_GB2312" w:hint="eastAsia"/>
                <w:b/>
                <w:color w:val="000000" w:themeColor="text1"/>
                <w:sz w:val="22"/>
                <w:szCs w:val="22"/>
              </w:rPr>
              <w:t>）对公存款增长是主要动力：</w:t>
            </w:r>
            <w:r w:rsidRPr="00701559">
              <w:rPr>
                <w:rFonts w:asciiTheme="minorEastAsia" w:eastAsiaTheme="minorEastAsia" w:hAnsiTheme="minorEastAsia" w:cs="楷体_GB2312" w:hint="eastAsia"/>
                <w:color w:val="000000" w:themeColor="text1"/>
                <w:sz w:val="22"/>
                <w:szCs w:val="22"/>
              </w:rPr>
              <w:t>我行公司存款发展趋势良好，实现了持续增长。截至报告期末，公司存款余额</w:t>
            </w:r>
            <w:r w:rsidRPr="00701559">
              <w:rPr>
                <w:rFonts w:asciiTheme="minorEastAsia" w:eastAsiaTheme="minorEastAsia" w:hAnsiTheme="minorEastAsia" w:cs="楷体_GB2312"/>
                <w:color w:val="000000" w:themeColor="text1"/>
                <w:sz w:val="22"/>
                <w:szCs w:val="22"/>
              </w:rPr>
              <w:t>14,605</w:t>
            </w:r>
            <w:r w:rsidRPr="00701559">
              <w:rPr>
                <w:rFonts w:asciiTheme="minorEastAsia" w:eastAsiaTheme="minorEastAsia" w:hAnsiTheme="minorEastAsia" w:cs="楷体_GB2312" w:hint="eastAsia"/>
                <w:color w:val="000000" w:themeColor="text1"/>
                <w:sz w:val="22"/>
                <w:szCs w:val="22"/>
              </w:rPr>
              <w:t>亿元，较年初增长</w:t>
            </w:r>
            <w:r w:rsidRPr="00701559">
              <w:rPr>
                <w:rFonts w:asciiTheme="minorEastAsia" w:eastAsiaTheme="minorEastAsia" w:hAnsiTheme="minorEastAsia" w:cs="楷体_GB2312"/>
                <w:color w:val="000000" w:themeColor="text1"/>
                <w:sz w:val="22"/>
                <w:szCs w:val="22"/>
              </w:rPr>
              <w:t>14%</w:t>
            </w:r>
            <w:r w:rsidRPr="00701559">
              <w:rPr>
                <w:rFonts w:asciiTheme="minorEastAsia" w:eastAsiaTheme="minorEastAsia" w:hAnsiTheme="minorEastAsia" w:cs="楷体_GB2312" w:hint="eastAsia"/>
                <w:color w:val="000000" w:themeColor="text1"/>
                <w:sz w:val="22"/>
                <w:szCs w:val="22"/>
              </w:rPr>
              <w:t>，在同业排名靠前</w:t>
            </w:r>
            <w:r w:rsidRPr="00701559">
              <w:rPr>
                <w:rFonts w:asciiTheme="minorEastAsia" w:eastAsiaTheme="minorEastAsia" w:hAnsiTheme="minorEastAsia" w:cs="楷体_GB2312" w:hint="eastAsia"/>
                <w:color w:val="000000"/>
                <w:sz w:val="22"/>
                <w:szCs w:val="22"/>
              </w:rPr>
              <w:t>。</w:t>
            </w:r>
          </w:p>
          <w:p w:rsidR="00701559" w:rsidRPr="00701559" w:rsidRDefault="00701559" w:rsidP="00701559">
            <w:pPr>
              <w:adjustRightInd w:val="0"/>
              <w:snapToGrid w:val="0"/>
              <w:spacing w:afterLines="20"/>
              <w:ind w:firstLineChars="200" w:firstLine="44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01559">
              <w:rPr>
                <w:rFonts w:asciiTheme="minorEastAsia" w:eastAsiaTheme="minorEastAsia" w:hAnsiTheme="minorEastAsia" w:cs="楷体_GB2312"/>
                <w:b/>
                <w:color w:val="000000" w:themeColor="text1"/>
                <w:sz w:val="22"/>
                <w:szCs w:val="22"/>
              </w:rPr>
              <w:t>2</w:t>
            </w:r>
            <w:r w:rsidRPr="00701559">
              <w:rPr>
                <w:rFonts w:asciiTheme="minorEastAsia" w:eastAsiaTheme="minorEastAsia" w:hAnsiTheme="minorEastAsia" w:cs="楷体_GB2312" w:hint="eastAsia"/>
                <w:b/>
                <w:color w:val="000000" w:themeColor="text1"/>
                <w:sz w:val="22"/>
                <w:szCs w:val="22"/>
              </w:rPr>
              <w:t>）非</w:t>
            </w:r>
            <w:proofErr w:type="gramStart"/>
            <w:r w:rsidRPr="00701559">
              <w:rPr>
                <w:rFonts w:asciiTheme="minorEastAsia" w:eastAsiaTheme="minorEastAsia" w:hAnsiTheme="minorEastAsia" w:cs="楷体_GB2312" w:hint="eastAsia"/>
                <w:b/>
                <w:color w:val="000000" w:themeColor="text1"/>
                <w:sz w:val="22"/>
                <w:szCs w:val="22"/>
              </w:rPr>
              <w:t>银存款</w:t>
            </w:r>
            <w:proofErr w:type="gramEnd"/>
            <w:r w:rsidRPr="00701559">
              <w:rPr>
                <w:rFonts w:asciiTheme="minorEastAsia" w:eastAsiaTheme="minorEastAsia" w:hAnsiTheme="minorEastAsia" w:cs="楷体_GB2312" w:hint="eastAsia"/>
                <w:b/>
                <w:color w:val="000000" w:themeColor="text1"/>
                <w:sz w:val="22"/>
                <w:szCs w:val="22"/>
              </w:rPr>
              <w:t>实现跨越式增长</w:t>
            </w:r>
            <w:r w:rsidRPr="00701559">
              <w:rPr>
                <w:rFonts w:asciiTheme="minorEastAsia" w:eastAsiaTheme="minorEastAsia" w:hAnsiTheme="minorEastAsia" w:cs="楷体_GB2312" w:hint="eastAsia"/>
                <w:color w:val="000000" w:themeColor="text1"/>
                <w:sz w:val="22"/>
                <w:szCs w:val="22"/>
              </w:rPr>
              <w:t>：</w:t>
            </w:r>
            <w:r w:rsidRPr="00701559">
              <w:rPr>
                <w:rFonts w:asciiTheme="minorEastAsia" w:eastAsiaTheme="minorEastAsia" w:hAnsiTheme="minorEastAsia" w:hint="eastAsia"/>
                <w:sz w:val="22"/>
                <w:szCs w:val="22"/>
              </w:rPr>
              <w:t>根据银发【</w:t>
            </w:r>
            <w:r w:rsidRPr="00701559">
              <w:rPr>
                <w:rFonts w:asciiTheme="minorEastAsia" w:eastAsiaTheme="minorEastAsia" w:hAnsiTheme="minorEastAsia" w:cs="Arial"/>
                <w:sz w:val="22"/>
                <w:szCs w:val="22"/>
              </w:rPr>
              <w:t>2014</w:t>
            </w:r>
            <w:r w:rsidRPr="00701559">
              <w:rPr>
                <w:rFonts w:asciiTheme="minorEastAsia" w:eastAsiaTheme="minorEastAsia" w:hAnsiTheme="minorEastAsia" w:hint="eastAsia"/>
                <w:sz w:val="22"/>
                <w:szCs w:val="22"/>
              </w:rPr>
              <w:t>】</w:t>
            </w:r>
            <w:r w:rsidRPr="00701559">
              <w:rPr>
                <w:rFonts w:asciiTheme="minorEastAsia" w:eastAsiaTheme="minorEastAsia" w:hAnsiTheme="minorEastAsia" w:cs="Arial"/>
                <w:sz w:val="22"/>
                <w:szCs w:val="22"/>
              </w:rPr>
              <w:t>387</w:t>
            </w:r>
            <w:r w:rsidRPr="00701559">
              <w:rPr>
                <w:rFonts w:asciiTheme="minorEastAsia" w:eastAsiaTheme="minorEastAsia" w:hAnsiTheme="minorEastAsia" w:hint="eastAsia"/>
                <w:sz w:val="22"/>
                <w:szCs w:val="22"/>
              </w:rPr>
              <w:t>号文，</w:t>
            </w:r>
            <w:r w:rsidRPr="00701559">
              <w:rPr>
                <w:rFonts w:asciiTheme="minorEastAsia" w:eastAsiaTheme="minorEastAsia" w:hAnsiTheme="minorEastAsia" w:cs="Arial"/>
                <w:sz w:val="22"/>
                <w:szCs w:val="22"/>
              </w:rPr>
              <w:t>2015</w:t>
            </w:r>
            <w:r w:rsidRPr="00701559">
              <w:rPr>
                <w:rFonts w:asciiTheme="minorEastAsia" w:eastAsiaTheme="minorEastAsia" w:hAnsiTheme="minorEastAsia" w:hint="eastAsia"/>
                <w:sz w:val="22"/>
                <w:szCs w:val="22"/>
              </w:rPr>
              <w:t>年部分同业存款纳入各项存款范</w:t>
            </w:r>
            <w:r w:rsidRPr="00701559">
              <w:rPr>
                <w:rFonts w:asciiTheme="minorEastAsia" w:eastAsiaTheme="minorEastAsia" w:hAnsiTheme="minorEastAsia" w:cs="楷体_GB2312" w:hint="eastAsia"/>
                <w:color w:val="000000" w:themeColor="text1"/>
                <w:sz w:val="22"/>
                <w:szCs w:val="22"/>
              </w:rPr>
              <w:t>围，我行积极布局，加大非</w:t>
            </w:r>
            <w:proofErr w:type="gramStart"/>
            <w:r w:rsidRPr="00701559">
              <w:rPr>
                <w:rFonts w:asciiTheme="minorEastAsia" w:eastAsiaTheme="minorEastAsia" w:hAnsiTheme="minorEastAsia" w:cs="楷体_GB2312" w:hint="eastAsia"/>
                <w:color w:val="000000" w:themeColor="text1"/>
                <w:sz w:val="22"/>
                <w:szCs w:val="22"/>
              </w:rPr>
              <w:t>银存款</w:t>
            </w:r>
            <w:proofErr w:type="gramEnd"/>
            <w:r w:rsidRPr="00701559">
              <w:rPr>
                <w:rFonts w:asciiTheme="minorEastAsia" w:eastAsiaTheme="minorEastAsia" w:hAnsiTheme="minorEastAsia" w:cs="楷体_GB2312" w:hint="eastAsia"/>
                <w:color w:val="000000" w:themeColor="text1"/>
                <w:sz w:val="22"/>
                <w:szCs w:val="22"/>
              </w:rPr>
              <w:t>引入力度，拓宽了存款渠道。截至报告期末，我</w:t>
            </w:r>
            <w:proofErr w:type="gramStart"/>
            <w:r w:rsidRPr="00701559">
              <w:rPr>
                <w:rFonts w:asciiTheme="minorEastAsia" w:eastAsiaTheme="minorEastAsia" w:hAnsiTheme="minorEastAsia" w:cs="楷体_GB2312" w:hint="eastAsia"/>
                <w:color w:val="000000" w:themeColor="text1"/>
                <w:sz w:val="22"/>
                <w:szCs w:val="22"/>
              </w:rPr>
              <w:t>行非银存款</w:t>
            </w:r>
            <w:proofErr w:type="gramEnd"/>
            <w:r w:rsidRPr="00701559">
              <w:rPr>
                <w:rFonts w:asciiTheme="minorEastAsia" w:eastAsiaTheme="minorEastAsia" w:hAnsiTheme="minorEastAsia" w:cs="楷体_GB2312" w:hint="eastAsia"/>
                <w:color w:val="000000" w:themeColor="text1"/>
                <w:sz w:val="22"/>
                <w:szCs w:val="22"/>
              </w:rPr>
              <w:t>余额4291亿元，较年初增长89%。</w:t>
            </w:r>
            <w:r w:rsidRPr="00701559">
              <w:rPr>
                <w:rFonts w:asciiTheme="minorEastAsia" w:eastAsiaTheme="minorEastAsia" w:hAnsiTheme="minorEastAsia" w:hint="eastAsia"/>
                <w:sz w:val="22"/>
                <w:szCs w:val="22"/>
              </w:rPr>
              <w:t>未来，我行将继续提高非</w:t>
            </w:r>
            <w:proofErr w:type="gramStart"/>
            <w:r w:rsidRPr="00701559">
              <w:rPr>
                <w:rFonts w:asciiTheme="minorEastAsia" w:eastAsiaTheme="minorEastAsia" w:hAnsiTheme="minorEastAsia" w:hint="eastAsia"/>
                <w:sz w:val="22"/>
                <w:szCs w:val="22"/>
              </w:rPr>
              <w:t>银存款</w:t>
            </w:r>
            <w:proofErr w:type="gramEnd"/>
            <w:r w:rsidRPr="00701559">
              <w:rPr>
                <w:rFonts w:asciiTheme="minorEastAsia" w:eastAsiaTheme="minorEastAsia" w:hAnsiTheme="minorEastAsia" w:hint="eastAsia"/>
                <w:sz w:val="22"/>
                <w:szCs w:val="22"/>
              </w:rPr>
              <w:t>总量，特别是提升非银活期存款占比。</w:t>
            </w:r>
          </w:p>
          <w:p w:rsidR="00701559" w:rsidRPr="00701559" w:rsidRDefault="00701559" w:rsidP="00701559">
            <w:pPr>
              <w:adjustRightInd w:val="0"/>
              <w:snapToGrid w:val="0"/>
              <w:spacing w:afterLines="20"/>
              <w:ind w:firstLineChars="200" w:firstLine="442"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701559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3）零售存款增长面临较大压力：</w:t>
            </w:r>
            <w:r w:rsidRPr="0070155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截至报告期末，零售存款比年初增长4%。</w:t>
            </w:r>
            <w:r w:rsidRPr="00701559">
              <w:rPr>
                <w:rFonts w:asciiTheme="minorEastAsia" w:eastAsiaTheme="minorEastAsia" w:hAnsiTheme="minorEastAsia" w:hint="eastAsia"/>
                <w:sz w:val="22"/>
                <w:szCs w:val="22"/>
              </w:rPr>
              <w:t>为推动存款稳定增长，我行从重点产品、客户经营、营销管理三方面入手，制定了多维度的存款推动策略：一方面以重点存款产品为抓手（加快</w:t>
            </w:r>
            <w:r w:rsidRPr="00701559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结构性存款</w:t>
            </w:r>
            <w:r w:rsidRPr="00701559">
              <w:rPr>
                <w:rFonts w:asciiTheme="minorEastAsia" w:eastAsiaTheme="minorEastAsia" w:hAnsiTheme="minorEastAsia" w:hint="eastAsia"/>
                <w:sz w:val="22"/>
                <w:szCs w:val="22"/>
              </w:rPr>
              <w:t>复杂化转型；大力发展</w:t>
            </w:r>
            <w:r w:rsidRPr="00701559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定活通</w:t>
            </w:r>
            <w:r w:rsidRPr="00701559">
              <w:rPr>
                <w:rFonts w:asciiTheme="minorEastAsia" w:eastAsiaTheme="minorEastAsia" w:hAnsiTheme="minorEastAsia" w:hint="eastAsia"/>
                <w:sz w:val="22"/>
                <w:szCs w:val="22"/>
              </w:rPr>
              <w:t>业务；做大</w:t>
            </w:r>
            <w:r w:rsidRPr="00701559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三方存管</w:t>
            </w:r>
            <w:r w:rsidRPr="00701559">
              <w:rPr>
                <w:rFonts w:asciiTheme="minorEastAsia" w:eastAsiaTheme="minorEastAsia" w:hAnsiTheme="minorEastAsia" w:hint="eastAsia"/>
                <w:sz w:val="22"/>
                <w:szCs w:val="22"/>
              </w:rPr>
              <w:t>客群；通过公私联动提升</w:t>
            </w:r>
            <w:r w:rsidRPr="00701559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代发工资</w:t>
            </w:r>
            <w:r w:rsidRPr="00701559">
              <w:rPr>
                <w:rFonts w:asciiTheme="minorEastAsia" w:eastAsiaTheme="minorEastAsia" w:hAnsiTheme="minorEastAsia" w:hint="eastAsia"/>
                <w:sz w:val="22"/>
                <w:szCs w:val="22"/>
              </w:rPr>
              <w:t>客户存款沉淀；通过</w:t>
            </w:r>
            <w:r w:rsidRPr="00701559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特色银行卡</w:t>
            </w:r>
            <w:r w:rsidRPr="00701559">
              <w:rPr>
                <w:rFonts w:asciiTheme="minorEastAsia" w:eastAsiaTheme="minorEastAsia" w:hAnsiTheme="minorEastAsia" w:hint="eastAsia"/>
                <w:sz w:val="22"/>
                <w:szCs w:val="22"/>
              </w:rPr>
              <w:t>聚焦重点客群）；另一方面落实客户经营，做到“新客、存量两手抓”（</w:t>
            </w:r>
            <w:proofErr w:type="gramStart"/>
            <w:r w:rsidRPr="00701559">
              <w:rPr>
                <w:rFonts w:asciiTheme="minorEastAsia" w:eastAsiaTheme="minorEastAsia" w:hAnsiTheme="minorEastAsia" w:hint="eastAsia"/>
                <w:sz w:val="22"/>
                <w:szCs w:val="22"/>
              </w:rPr>
              <w:t>做好爱</w:t>
            </w:r>
            <w:proofErr w:type="gramEnd"/>
            <w:r w:rsidRPr="00701559">
              <w:rPr>
                <w:rFonts w:asciiTheme="minorEastAsia" w:eastAsiaTheme="minorEastAsia" w:hAnsiTheme="minorEastAsia" w:hint="eastAsia"/>
                <w:sz w:val="22"/>
                <w:szCs w:val="22"/>
              </w:rPr>
              <w:t>新客工程，做大结算客户，加大客户经理基本法存款考核力度等）。</w:t>
            </w:r>
            <w:r w:rsidRPr="0070155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受股市和利率市场化的影响，整个银行业零售存款压力逐步加大。未来，我行零售业务将顺势而为，及时调整存款结构，充分挖掘客户结算、理财及证券投资等需求，保持零售存款稳定增长。</w:t>
            </w:r>
          </w:p>
          <w:p w:rsidR="00862CF2" w:rsidRPr="00701559" w:rsidRDefault="00862CF2" w:rsidP="008F16A2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</w:p>
          <w:p w:rsidR="00701559" w:rsidRPr="00701559" w:rsidRDefault="00701559" w:rsidP="00701559">
            <w:pPr>
              <w:pStyle w:val="30"/>
              <w:tabs>
                <w:tab w:val="clear" w:pos="540"/>
                <w:tab w:val="left" w:pos="0"/>
              </w:tabs>
              <w:spacing w:beforeLines="150" w:afterLines="50" w:line="240" w:lineRule="auto"/>
              <w:ind w:left="420" w:hanging="420"/>
              <w:jc w:val="left"/>
              <w:outlineLvl w:val="2"/>
            </w:pPr>
            <w:bookmarkStart w:id="3" w:name="_Toc433106858"/>
            <w:r w:rsidRPr="00701559">
              <w:rPr>
                <w:rFonts w:hint="eastAsia"/>
              </w:rPr>
              <w:t>净利润实现快速增长的动力？</w:t>
            </w:r>
            <w:bookmarkEnd w:id="3"/>
            <w:r w:rsidRPr="00701559">
              <w:t xml:space="preserve"> </w:t>
            </w:r>
          </w:p>
          <w:p w:rsidR="00701559" w:rsidRPr="00701559" w:rsidRDefault="00701559" w:rsidP="00701559">
            <w:pPr>
              <w:adjustRightInd w:val="0"/>
              <w:snapToGrid w:val="0"/>
              <w:spacing w:afterLines="20"/>
              <w:ind w:firstLineChars="200" w:firstLine="440"/>
              <w:jc w:val="left"/>
              <w:rPr>
                <w:rFonts w:asciiTheme="minorEastAsia" w:eastAsiaTheme="minorEastAsia" w:hAnsiTheme="minorEastAsia" w:cs="楷体_GB2312"/>
                <w:color w:val="000000" w:themeColor="text1"/>
                <w:sz w:val="22"/>
                <w:szCs w:val="22"/>
              </w:rPr>
            </w:pPr>
            <w:proofErr w:type="gramStart"/>
            <w:r w:rsidRPr="00701559">
              <w:rPr>
                <w:rFonts w:asciiTheme="minorEastAsia" w:eastAsiaTheme="minorEastAsia" w:hAnsiTheme="minorEastAsia" w:cs="楷体_GB2312" w:hint="eastAsia"/>
                <w:color w:val="000000" w:themeColor="text1"/>
                <w:sz w:val="22"/>
                <w:szCs w:val="22"/>
              </w:rPr>
              <w:t>我行净利润</w:t>
            </w:r>
            <w:proofErr w:type="gramEnd"/>
            <w:r w:rsidRPr="00701559">
              <w:rPr>
                <w:rFonts w:asciiTheme="minorEastAsia" w:eastAsiaTheme="minorEastAsia" w:hAnsiTheme="minorEastAsia" w:cs="楷体_GB2312" w:hint="eastAsia"/>
                <w:color w:val="000000" w:themeColor="text1"/>
                <w:sz w:val="22"/>
                <w:szCs w:val="22"/>
              </w:rPr>
              <w:t>同比增长13</w:t>
            </w:r>
            <w:r w:rsidRPr="00701559">
              <w:rPr>
                <w:rFonts w:asciiTheme="minorEastAsia" w:eastAsiaTheme="minorEastAsia" w:hAnsiTheme="minorEastAsia" w:cs="楷体_GB2312"/>
                <w:color w:val="000000" w:themeColor="text1"/>
                <w:sz w:val="22"/>
                <w:szCs w:val="22"/>
              </w:rPr>
              <w:t>%</w:t>
            </w:r>
            <w:r w:rsidRPr="00701559">
              <w:rPr>
                <w:rFonts w:asciiTheme="minorEastAsia" w:eastAsiaTheme="minorEastAsia" w:hAnsiTheme="minorEastAsia" w:cs="楷体_GB2312" w:hint="eastAsia"/>
                <w:color w:val="000000" w:themeColor="text1"/>
                <w:sz w:val="22"/>
                <w:szCs w:val="22"/>
              </w:rPr>
              <w:t>，主要驱动因素来自于收入提升和投产效率提高：</w:t>
            </w:r>
          </w:p>
          <w:p w:rsidR="00701559" w:rsidRPr="00701559" w:rsidRDefault="00701559" w:rsidP="00701559">
            <w:pPr>
              <w:adjustRightInd w:val="0"/>
              <w:snapToGrid w:val="0"/>
              <w:spacing w:afterLines="20"/>
              <w:ind w:firstLineChars="200" w:firstLine="440"/>
              <w:jc w:val="left"/>
              <w:rPr>
                <w:rFonts w:asciiTheme="minorEastAsia" w:eastAsiaTheme="minorEastAsia" w:hAnsiTheme="minorEastAsia" w:cs="楷体_GB2312"/>
                <w:color w:val="000000" w:themeColor="text1"/>
                <w:sz w:val="22"/>
                <w:szCs w:val="22"/>
              </w:rPr>
            </w:pPr>
            <w:r w:rsidRPr="00701559">
              <w:rPr>
                <w:rFonts w:asciiTheme="minorEastAsia" w:eastAsiaTheme="minorEastAsia" w:hAnsiTheme="minorEastAsia" w:cs="楷体_GB2312"/>
                <w:color w:val="000000" w:themeColor="text1"/>
                <w:sz w:val="22"/>
                <w:szCs w:val="22"/>
              </w:rPr>
              <w:t>1</w:t>
            </w:r>
            <w:r w:rsidRPr="00701559">
              <w:rPr>
                <w:rFonts w:asciiTheme="minorEastAsia" w:eastAsiaTheme="minorEastAsia" w:hAnsiTheme="minorEastAsia" w:cs="楷体_GB2312" w:hint="eastAsia"/>
                <w:color w:val="000000" w:themeColor="text1"/>
                <w:sz w:val="22"/>
                <w:szCs w:val="22"/>
              </w:rPr>
              <w:t>）我</w:t>
            </w:r>
            <w:proofErr w:type="gramStart"/>
            <w:r w:rsidRPr="00701559">
              <w:rPr>
                <w:rFonts w:asciiTheme="minorEastAsia" w:eastAsiaTheme="minorEastAsia" w:hAnsiTheme="minorEastAsia" w:cs="楷体_GB2312" w:hint="eastAsia"/>
                <w:color w:val="000000" w:themeColor="text1"/>
                <w:sz w:val="22"/>
                <w:szCs w:val="22"/>
              </w:rPr>
              <w:t>行持续</w:t>
            </w:r>
            <w:proofErr w:type="gramEnd"/>
            <w:r w:rsidRPr="00701559">
              <w:rPr>
                <w:rFonts w:asciiTheme="minorEastAsia" w:eastAsiaTheme="minorEastAsia" w:hAnsiTheme="minorEastAsia" w:cs="楷体_GB2312" w:hint="eastAsia"/>
                <w:color w:val="000000" w:themeColor="text1"/>
                <w:sz w:val="22"/>
                <w:szCs w:val="22"/>
              </w:rPr>
              <w:t>加大风险定价管理，提高信贷资源使用效率，有效改善贷款结构，</w:t>
            </w:r>
            <w:r w:rsidRPr="00701559">
              <w:rPr>
                <w:rFonts w:asciiTheme="minorEastAsia" w:eastAsiaTheme="minorEastAsia" w:hAnsiTheme="minorEastAsia" w:hint="eastAsia"/>
                <w:sz w:val="22"/>
                <w:szCs w:val="22"/>
              </w:rPr>
              <w:t>在央行数次降息影响下，一般贷款（不含贴现）收益率同比仅下降</w:t>
            </w:r>
            <w:r w:rsidRPr="00701559">
              <w:rPr>
                <w:rFonts w:asciiTheme="minorEastAsia" w:eastAsiaTheme="minorEastAsia" w:hAnsiTheme="minorEastAsia"/>
                <w:sz w:val="22"/>
                <w:szCs w:val="22"/>
              </w:rPr>
              <w:t>3个基点；</w:t>
            </w:r>
            <w:r w:rsidRPr="00701559">
              <w:rPr>
                <w:rFonts w:asciiTheme="minorEastAsia" w:eastAsiaTheme="minorEastAsia" w:hAnsiTheme="minorEastAsia" w:cs="楷体_GB2312" w:hint="eastAsia"/>
                <w:color w:val="000000" w:themeColor="text1"/>
                <w:sz w:val="22"/>
                <w:szCs w:val="22"/>
              </w:rPr>
              <w:t>同时加大资产、负债结构调整，有效控制了负债成本率，</w:t>
            </w:r>
            <w:r w:rsidRPr="00701559">
              <w:rPr>
                <w:rFonts w:asciiTheme="minorEastAsia" w:eastAsiaTheme="minorEastAsia" w:hAnsiTheme="minorEastAsia" w:hint="eastAsia"/>
                <w:sz w:val="22"/>
                <w:szCs w:val="22"/>
              </w:rPr>
              <w:t>净利差、净息差分别同比逆市上升</w:t>
            </w:r>
            <w:r w:rsidRPr="00701559">
              <w:rPr>
                <w:rFonts w:asciiTheme="minorEastAsia" w:eastAsiaTheme="minorEastAsia" w:hAnsiTheme="minorEastAsia"/>
                <w:sz w:val="22"/>
                <w:szCs w:val="22"/>
              </w:rPr>
              <w:t>23、20个</w:t>
            </w:r>
            <w:r w:rsidRPr="00701559">
              <w:rPr>
                <w:rFonts w:asciiTheme="minorEastAsia" w:eastAsiaTheme="minorEastAsia" w:hAnsiTheme="minorEastAsia" w:hint="eastAsia"/>
                <w:sz w:val="22"/>
                <w:szCs w:val="22"/>
              </w:rPr>
              <w:t>基点</w:t>
            </w:r>
            <w:r w:rsidRPr="00701559">
              <w:rPr>
                <w:rFonts w:asciiTheme="minorEastAsia" w:eastAsiaTheme="minorEastAsia" w:hAnsiTheme="minorEastAsia"/>
                <w:sz w:val="22"/>
                <w:szCs w:val="22"/>
              </w:rPr>
              <w:t>，</w:t>
            </w:r>
            <w:r w:rsidRPr="00701559">
              <w:rPr>
                <w:rFonts w:asciiTheme="minorEastAsia" w:eastAsiaTheme="minorEastAsia" w:hAnsiTheme="minorEastAsia" w:cs="楷体_GB2312" w:hint="eastAsia"/>
                <w:color w:val="000000" w:themeColor="text1"/>
                <w:sz w:val="22"/>
                <w:szCs w:val="22"/>
              </w:rPr>
              <w:t>利息净收入同比增幅</w:t>
            </w:r>
            <w:r w:rsidRPr="00701559">
              <w:rPr>
                <w:rFonts w:asciiTheme="minorEastAsia" w:eastAsiaTheme="minorEastAsia" w:hAnsiTheme="minorEastAsia" w:cs="Arial"/>
                <w:sz w:val="22"/>
                <w:szCs w:val="22"/>
              </w:rPr>
              <w:t>25</w:t>
            </w:r>
            <w:r w:rsidRPr="00701559">
              <w:rPr>
                <w:rFonts w:asciiTheme="minorEastAsia" w:eastAsiaTheme="minorEastAsia" w:hAnsiTheme="minorEastAsia" w:cs="楷体_GB2312"/>
                <w:color w:val="000000" w:themeColor="text1"/>
                <w:sz w:val="22"/>
                <w:szCs w:val="22"/>
              </w:rPr>
              <w:t>%</w:t>
            </w:r>
            <w:r w:rsidRPr="00701559">
              <w:rPr>
                <w:rFonts w:asciiTheme="minorEastAsia" w:eastAsiaTheme="minorEastAsia" w:hAnsiTheme="minorEastAsia" w:cs="楷体_GB2312" w:hint="eastAsia"/>
                <w:color w:val="000000" w:themeColor="text1"/>
                <w:sz w:val="22"/>
                <w:szCs w:val="22"/>
              </w:rPr>
              <w:t>；</w:t>
            </w:r>
          </w:p>
          <w:p w:rsidR="00701559" w:rsidRPr="00701559" w:rsidRDefault="00701559" w:rsidP="00701559">
            <w:pPr>
              <w:adjustRightInd w:val="0"/>
              <w:snapToGrid w:val="0"/>
              <w:spacing w:afterLines="20"/>
              <w:ind w:firstLineChars="200" w:firstLine="440"/>
              <w:jc w:val="left"/>
              <w:rPr>
                <w:rFonts w:asciiTheme="minorEastAsia" w:eastAsiaTheme="minorEastAsia" w:hAnsiTheme="minorEastAsia" w:cs="楷体_GB2312"/>
                <w:color w:val="000000" w:themeColor="text1"/>
                <w:sz w:val="22"/>
                <w:szCs w:val="22"/>
              </w:rPr>
            </w:pPr>
            <w:r w:rsidRPr="00701559">
              <w:rPr>
                <w:rFonts w:asciiTheme="minorEastAsia" w:eastAsiaTheme="minorEastAsia" w:hAnsiTheme="minorEastAsia" w:cs="楷体_GB2312"/>
                <w:color w:val="000000" w:themeColor="text1"/>
                <w:sz w:val="22"/>
                <w:szCs w:val="22"/>
              </w:rPr>
              <w:t>2</w:t>
            </w:r>
            <w:r w:rsidRPr="00701559">
              <w:rPr>
                <w:rFonts w:asciiTheme="minorEastAsia" w:eastAsiaTheme="minorEastAsia" w:hAnsiTheme="minorEastAsia" w:cs="楷体_GB2312" w:hint="eastAsia"/>
                <w:color w:val="000000" w:themeColor="text1"/>
                <w:sz w:val="22"/>
                <w:szCs w:val="22"/>
              </w:rPr>
              <w:t>）我</w:t>
            </w:r>
            <w:proofErr w:type="gramStart"/>
            <w:r w:rsidRPr="00701559">
              <w:rPr>
                <w:rFonts w:asciiTheme="minorEastAsia" w:eastAsiaTheme="minorEastAsia" w:hAnsiTheme="minorEastAsia" w:cs="楷体_GB2312" w:hint="eastAsia"/>
                <w:color w:val="000000" w:themeColor="text1"/>
                <w:sz w:val="22"/>
                <w:szCs w:val="22"/>
              </w:rPr>
              <w:t>行持续</w:t>
            </w:r>
            <w:proofErr w:type="gramEnd"/>
            <w:r w:rsidRPr="00701559">
              <w:rPr>
                <w:rFonts w:asciiTheme="minorEastAsia" w:eastAsiaTheme="minorEastAsia" w:hAnsiTheme="minorEastAsia" w:cs="楷体_GB2312" w:hint="eastAsia"/>
                <w:color w:val="000000" w:themeColor="text1"/>
                <w:sz w:val="22"/>
                <w:szCs w:val="22"/>
              </w:rPr>
              <w:t>开展服务与产品创新，提升综合服务能力，手续费及佣金净收入同比增幅</w:t>
            </w:r>
            <w:r w:rsidRPr="00701559">
              <w:rPr>
                <w:rFonts w:asciiTheme="minorEastAsia" w:eastAsiaTheme="minorEastAsia" w:hAnsiTheme="minorEastAsia" w:cs="Arial"/>
                <w:sz w:val="22"/>
                <w:szCs w:val="22"/>
              </w:rPr>
              <w:t>58</w:t>
            </w:r>
            <w:r w:rsidRPr="00701559">
              <w:rPr>
                <w:rFonts w:asciiTheme="minorEastAsia" w:eastAsiaTheme="minorEastAsia" w:hAnsiTheme="minorEastAsia" w:cs="楷体_GB2312"/>
                <w:color w:val="000000" w:themeColor="text1"/>
                <w:sz w:val="22"/>
                <w:szCs w:val="22"/>
              </w:rPr>
              <w:t>%</w:t>
            </w:r>
            <w:r w:rsidRPr="00701559">
              <w:rPr>
                <w:rFonts w:asciiTheme="minorEastAsia" w:eastAsiaTheme="minorEastAsia" w:hAnsiTheme="minorEastAsia" w:cs="楷体_GB2312" w:hint="eastAsia"/>
                <w:color w:val="000000" w:themeColor="text1"/>
                <w:sz w:val="22"/>
                <w:szCs w:val="22"/>
              </w:rPr>
              <w:t>；</w:t>
            </w:r>
          </w:p>
          <w:p w:rsidR="00701559" w:rsidRPr="00701559" w:rsidRDefault="00701559" w:rsidP="00701559">
            <w:pPr>
              <w:adjustRightInd w:val="0"/>
              <w:snapToGrid w:val="0"/>
              <w:spacing w:afterLines="20"/>
              <w:ind w:firstLineChars="200" w:firstLine="440"/>
              <w:jc w:val="left"/>
              <w:rPr>
                <w:rFonts w:asciiTheme="minorEastAsia" w:eastAsiaTheme="minorEastAsia" w:hAnsiTheme="minorEastAsia" w:cs="楷体_GB2312"/>
                <w:color w:val="000000" w:themeColor="text1"/>
                <w:sz w:val="22"/>
                <w:szCs w:val="22"/>
              </w:rPr>
            </w:pPr>
            <w:r w:rsidRPr="00701559">
              <w:rPr>
                <w:rFonts w:asciiTheme="minorEastAsia" w:eastAsiaTheme="minorEastAsia" w:hAnsiTheme="minorEastAsia" w:cs="楷体_GB2312"/>
                <w:color w:val="000000" w:themeColor="text1"/>
                <w:sz w:val="22"/>
                <w:szCs w:val="22"/>
              </w:rPr>
              <w:t>3</w:t>
            </w:r>
            <w:r w:rsidRPr="00701559">
              <w:rPr>
                <w:rFonts w:asciiTheme="minorEastAsia" w:eastAsiaTheme="minorEastAsia" w:hAnsiTheme="minorEastAsia" w:cs="楷体_GB2312" w:hint="eastAsia"/>
                <w:color w:val="000000" w:themeColor="text1"/>
                <w:sz w:val="22"/>
                <w:szCs w:val="22"/>
              </w:rPr>
              <w:t>）</w:t>
            </w:r>
            <w:r w:rsidRPr="00701559">
              <w:rPr>
                <w:rFonts w:asciiTheme="minorEastAsia" w:eastAsiaTheme="minorEastAsia" w:hAnsiTheme="minorEastAsia" w:hint="eastAsia"/>
                <w:sz w:val="22"/>
                <w:szCs w:val="22"/>
              </w:rPr>
              <w:t>推行成本精细化管理，全行费用增幅低于收入增幅，投产效率持续改善，截至报告期末，</w:t>
            </w:r>
            <w:r w:rsidRPr="00701559">
              <w:rPr>
                <w:rFonts w:asciiTheme="minorEastAsia" w:eastAsiaTheme="minorEastAsia" w:hAnsiTheme="minorEastAsia" w:cs="楷体_GB2312" w:hint="eastAsia"/>
                <w:color w:val="000000" w:themeColor="text1"/>
                <w:sz w:val="22"/>
                <w:szCs w:val="22"/>
              </w:rPr>
              <w:t>成本收入比32.14</w:t>
            </w:r>
            <w:r w:rsidRPr="00701559">
              <w:rPr>
                <w:rFonts w:asciiTheme="minorEastAsia" w:eastAsiaTheme="minorEastAsia" w:hAnsiTheme="minorEastAsia" w:cs="楷体_GB2312"/>
                <w:color w:val="000000" w:themeColor="text1"/>
                <w:sz w:val="22"/>
                <w:szCs w:val="22"/>
              </w:rPr>
              <w:t>%</w:t>
            </w:r>
            <w:r w:rsidRPr="00701559">
              <w:rPr>
                <w:rFonts w:asciiTheme="minorEastAsia" w:eastAsiaTheme="minorEastAsia" w:hAnsiTheme="minorEastAsia" w:cs="楷体_GB2312" w:hint="eastAsia"/>
                <w:color w:val="000000" w:themeColor="text1"/>
                <w:sz w:val="22"/>
                <w:szCs w:val="22"/>
              </w:rPr>
              <w:t>，同比下降</w:t>
            </w:r>
            <w:r w:rsidRPr="00701559">
              <w:rPr>
                <w:rFonts w:asciiTheme="minorEastAsia" w:eastAsiaTheme="minorEastAsia" w:hAnsiTheme="minorEastAsia" w:cs="Arial" w:hint="eastAsia"/>
                <w:sz w:val="22"/>
                <w:szCs w:val="22"/>
              </w:rPr>
              <w:t>4.56</w:t>
            </w:r>
            <w:r w:rsidRPr="00701559">
              <w:rPr>
                <w:rFonts w:asciiTheme="minorEastAsia" w:eastAsiaTheme="minorEastAsia" w:hAnsiTheme="minorEastAsia" w:cs="楷体_GB2312" w:hint="eastAsia"/>
                <w:color w:val="000000" w:themeColor="text1"/>
                <w:sz w:val="22"/>
                <w:szCs w:val="22"/>
              </w:rPr>
              <w:t>个百分点，较</w:t>
            </w:r>
            <w:r w:rsidRPr="00701559">
              <w:rPr>
                <w:rFonts w:asciiTheme="minorEastAsia" w:eastAsiaTheme="minorEastAsia" w:hAnsiTheme="minorEastAsia" w:cs="楷体_GB2312"/>
                <w:color w:val="000000" w:themeColor="text1"/>
                <w:sz w:val="22"/>
                <w:szCs w:val="22"/>
              </w:rPr>
              <w:t>2014</w:t>
            </w:r>
            <w:r w:rsidRPr="00701559">
              <w:rPr>
                <w:rFonts w:asciiTheme="minorEastAsia" w:eastAsiaTheme="minorEastAsia" w:hAnsiTheme="minorEastAsia" w:cs="楷体_GB2312" w:hint="eastAsia"/>
                <w:color w:val="000000" w:themeColor="text1"/>
                <w:sz w:val="22"/>
                <w:szCs w:val="22"/>
              </w:rPr>
              <w:t>全年下降</w:t>
            </w:r>
            <w:r w:rsidRPr="00701559">
              <w:rPr>
                <w:rFonts w:asciiTheme="minorEastAsia" w:eastAsiaTheme="minorEastAsia" w:hAnsiTheme="minorEastAsia" w:cs="Arial" w:hint="eastAsia"/>
                <w:sz w:val="22"/>
                <w:szCs w:val="22"/>
              </w:rPr>
              <w:t>4.19</w:t>
            </w:r>
            <w:r w:rsidRPr="00701559">
              <w:rPr>
                <w:rFonts w:asciiTheme="minorEastAsia" w:eastAsiaTheme="minorEastAsia" w:hAnsiTheme="minorEastAsia" w:cs="楷体_GB2312" w:hint="eastAsia"/>
                <w:color w:val="000000" w:themeColor="text1"/>
                <w:sz w:val="22"/>
                <w:szCs w:val="22"/>
              </w:rPr>
              <w:t>个百分点，较</w:t>
            </w:r>
            <w:r w:rsidRPr="00701559">
              <w:rPr>
                <w:rFonts w:asciiTheme="minorEastAsia" w:eastAsiaTheme="minorEastAsia" w:hAnsiTheme="minorEastAsia" w:cs="楷体_GB2312"/>
                <w:color w:val="000000" w:themeColor="text1"/>
                <w:sz w:val="22"/>
                <w:szCs w:val="22"/>
              </w:rPr>
              <w:t>2012</w:t>
            </w:r>
            <w:r w:rsidRPr="00701559">
              <w:rPr>
                <w:rFonts w:asciiTheme="minorEastAsia" w:eastAsiaTheme="minorEastAsia" w:hAnsiTheme="minorEastAsia" w:cs="楷体_GB2312" w:hint="eastAsia"/>
                <w:color w:val="000000" w:themeColor="text1"/>
                <w:sz w:val="22"/>
                <w:szCs w:val="22"/>
              </w:rPr>
              <w:t>年度下降</w:t>
            </w:r>
            <w:r w:rsidRPr="00701559">
              <w:rPr>
                <w:rFonts w:asciiTheme="minorEastAsia" w:eastAsiaTheme="minorEastAsia" w:hAnsiTheme="minorEastAsia" w:cs="Arial" w:hint="eastAsia"/>
                <w:sz w:val="22"/>
                <w:szCs w:val="22"/>
              </w:rPr>
              <w:t>7.27</w:t>
            </w:r>
            <w:r w:rsidRPr="00701559">
              <w:rPr>
                <w:rFonts w:asciiTheme="minorEastAsia" w:eastAsiaTheme="minorEastAsia" w:hAnsiTheme="minorEastAsia" w:cs="楷体_GB2312" w:hint="eastAsia"/>
                <w:color w:val="000000" w:themeColor="text1"/>
                <w:sz w:val="22"/>
                <w:szCs w:val="22"/>
              </w:rPr>
              <w:t>个百分点。</w:t>
            </w:r>
            <w:r w:rsidRPr="00701559">
              <w:rPr>
                <w:rFonts w:asciiTheme="minorEastAsia" w:eastAsiaTheme="minorEastAsia" w:hAnsiTheme="minorEastAsia" w:cs="楷体_GB2312"/>
                <w:color w:val="000000" w:themeColor="text1"/>
                <w:sz w:val="22"/>
                <w:szCs w:val="22"/>
              </w:rPr>
              <w:t xml:space="preserve"> </w:t>
            </w:r>
          </w:p>
          <w:p w:rsidR="00701559" w:rsidRPr="00701559" w:rsidRDefault="00701559" w:rsidP="00701559">
            <w:pPr>
              <w:adjustRightInd w:val="0"/>
              <w:snapToGrid w:val="0"/>
              <w:spacing w:afterLines="20"/>
              <w:ind w:firstLineChars="200" w:firstLine="440"/>
              <w:jc w:val="left"/>
              <w:rPr>
                <w:rFonts w:asciiTheme="minorEastAsia" w:eastAsiaTheme="minorEastAsia" w:hAnsiTheme="minorEastAsia" w:cs="楷体_GB2312"/>
                <w:color w:val="000000" w:themeColor="text1"/>
                <w:sz w:val="22"/>
                <w:szCs w:val="22"/>
              </w:rPr>
            </w:pPr>
            <w:r w:rsidRPr="00701559">
              <w:rPr>
                <w:rFonts w:asciiTheme="minorEastAsia" w:eastAsiaTheme="minorEastAsia" w:hAnsiTheme="minorEastAsia" w:cs="楷体_GB2312" w:hint="eastAsia"/>
                <w:color w:val="000000" w:themeColor="text1"/>
                <w:sz w:val="22"/>
                <w:szCs w:val="22"/>
              </w:rPr>
              <w:t>另外，我行一贯坚持稳健经营策略，在持续两年拨备计提翻番的情况下，今年前三季度进一步加大了拨备计提力度，同比增幅</w:t>
            </w:r>
            <w:r w:rsidRPr="00701559">
              <w:rPr>
                <w:rFonts w:asciiTheme="minorEastAsia" w:eastAsiaTheme="minorEastAsia" w:hAnsiTheme="minorEastAsia" w:cs="Arial" w:hint="eastAsia"/>
                <w:sz w:val="22"/>
                <w:szCs w:val="22"/>
              </w:rPr>
              <w:t>105</w:t>
            </w:r>
            <w:r w:rsidRPr="00701559">
              <w:rPr>
                <w:rFonts w:asciiTheme="minorEastAsia" w:eastAsiaTheme="minorEastAsia" w:hAnsiTheme="minorEastAsia" w:cs="楷体_GB2312"/>
                <w:color w:val="000000" w:themeColor="text1"/>
                <w:sz w:val="22"/>
                <w:szCs w:val="22"/>
              </w:rPr>
              <w:t>%</w:t>
            </w:r>
            <w:r w:rsidRPr="00701559">
              <w:rPr>
                <w:rFonts w:asciiTheme="minorEastAsia" w:eastAsiaTheme="minorEastAsia" w:hAnsiTheme="minorEastAsia" w:cs="楷体_GB2312" w:hint="eastAsia"/>
                <w:color w:val="000000" w:themeColor="text1"/>
                <w:sz w:val="22"/>
                <w:szCs w:val="22"/>
              </w:rPr>
              <w:t>，提高全行风险抵御能力。</w:t>
            </w:r>
          </w:p>
          <w:p w:rsidR="00701559" w:rsidRPr="00701559" w:rsidRDefault="00701559" w:rsidP="00701559">
            <w:pPr>
              <w:adjustRightInd w:val="0"/>
              <w:snapToGrid w:val="0"/>
              <w:spacing w:afterLines="20"/>
              <w:ind w:firstLineChars="200" w:firstLine="440"/>
              <w:jc w:val="left"/>
              <w:rPr>
                <w:rFonts w:asciiTheme="minorEastAsia" w:eastAsiaTheme="minorEastAsia" w:hAnsiTheme="minorEastAsia" w:cs="楷体_GB2312"/>
                <w:color w:val="000000" w:themeColor="text1"/>
                <w:sz w:val="22"/>
                <w:szCs w:val="22"/>
              </w:rPr>
            </w:pPr>
          </w:p>
          <w:p w:rsidR="00701559" w:rsidRPr="00701559" w:rsidRDefault="00701559" w:rsidP="00701559">
            <w:pPr>
              <w:pStyle w:val="30"/>
              <w:tabs>
                <w:tab w:val="clear" w:pos="540"/>
                <w:tab w:val="left" w:pos="0"/>
              </w:tabs>
              <w:spacing w:beforeLines="150" w:afterLines="50" w:line="240" w:lineRule="auto"/>
              <w:ind w:left="420" w:hanging="420"/>
              <w:jc w:val="left"/>
              <w:outlineLvl w:val="2"/>
            </w:pPr>
            <w:bookmarkStart w:id="4" w:name="_Toc433106859"/>
            <w:r w:rsidRPr="00701559">
              <w:rPr>
                <w:rFonts w:hint="eastAsia"/>
              </w:rPr>
              <w:lastRenderedPageBreak/>
              <w:t>贵行非息收入、手续费增长的主要动力？未来可持续性？</w:t>
            </w:r>
            <w:bookmarkEnd w:id="4"/>
          </w:p>
          <w:p w:rsidR="00701559" w:rsidRPr="00701559" w:rsidRDefault="00701559" w:rsidP="00701559">
            <w:pPr>
              <w:adjustRightInd w:val="0"/>
              <w:snapToGrid w:val="0"/>
              <w:spacing w:afterLines="20"/>
              <w:ind w:firstLineChars="200" w:firstLine="440"/>
              <w:jc w:val="left"/>
              <w:rPr>
                <w:rFonts w:asciiTheme="minorEastAsia" w:eastAsiaTheme="minorEastAsia" w:hAnsiTheme="minorEastAsia" w:cs="楷体_GB2312"/>
                <w:color w:val="000000" w:themeColor="text1"/>
                <w:sz w:val="22"/>
                <w:szCs w:val="22"/>
              </w:rPr>
            </w:pPr>
            <w:r w:rsidRPr="00701559">
              <w:rPr>
                <w:rFonts w:asciiTheme="minorEastAsia" w:eastAsiaTheme="minorEastAsia" w:hAnsiTheme="minorEastAsia" w:cs="楷体_GB2312" w:hint="eastAsia"/>
                <w:color w:val="000000" w:themeColor="text1"/>
                <w:sz w:val="22"/>
                <w:szCs w:val="22"/>
              </w:rPr>
              <w:t>截至报告期末，</w:t>
            </w:r>
            <w:r w:rsidRPr="00701559">
              <w:rPr>
                <w:rFonts w:asciiTheme="minorEastAsia" w:eastAsiaTheme="minorEastAsia" w:hAnsiTheme="minorEastAsia" w:hint="eastAsia"/>
                <w:sz w:val="22"/>
                <w:szCs w:val="22"/>
              </w:rPr>
              <w:t>我行实现非利息净收入</w:t>
            </w:r>
            <w:r w:rsidRPr="00701559">
              <w:rPr>
                <w:rFonts w:asciiTheme="minorEastAsia" w:eastAsiaTheme="minorEastAsia" w:hAnsiTheme="minorEastAsia" w:cs="Arial" w:hint="eastAsia"/>
                <w:sz w:val="22"/>
                <w:szCs w:val="22"/>
              </w:rPr>
              <w:t>229</w:t>
            </w:r>
            <w:r w:rsidRPr="00701559">
              <w:rPr>
                <w:rFonts w:asciiTheme="minorEastAsia" w:eastAsiaTheme="minorEastAsia" w:hAnsiTheme="minorEastAsia" w:hint="eastAsia"/>
                <w:sz w:val="22"/>
                <w:szCs w:val="22"/>
              </w:rPr>
              <w:t>亿元，同比增加</w:t>
            </w:r>
            <w:r w:rsidRPr="00701559">
              <w:rPr>
                <w:rFonts w:asciiTheme="minorEastAsia" w:eastAsiaTheme="minorEastAsia" w:hAnsiTheme="minorEastAsia" w:cs="Arial" w:hint="eastAsia"/>
                <w:sz w:val="22"/>
                <w:szCs w:val="22"/>
              </w:rPr>
              <w:t>67</w:t>
            </w:r>
            <w:r w:rsidRPr="00701559">
              <w:rPr>
                <w:rFonts w:asciiTheme="minorEastAsia" w:eastAsiaTheme="minorEastAsia" w:hAnsiTheme="minorEastAsia" w:hint="eastAsia"/>
                <w:sz w:val="22"/>
                <w:szCs w:val="22"/>
              </w:rPr>
              <w:t>亿元，增幅</w:t>
            </w:r>
            <w:r w:rsidRPr="00701559">
              <w:rPr>
                <w:rFonts w:asciiTheme="minorEastAsia" w:eastAsiaTheme="minorEastAsia" w:hAnsiTheme="minorEastAsia" w:cs="Arial" w:hint="eastAsia"/>
                <w:sz w:val="22"/>
                <w:szCs w:val="22"/>
              </w:rPr>
              <w:t>41</w:t>
            </w:r>
            <w:r w:rsidRPr="00701559">
              <w:rPr>
                <w:rFonts w:asciiTheme="minorEastAsia" w:eastAsiaTheme="minorEastAsia" w:hAnsiTheme="minorEastAsia" w:cs="Arial"/>
                <w:sz w:val="22"/>
                <w:szCs w:val="22"/>
              </w:rPr>
              <w:t>%</w:t>
            </w:r>
            <w:r w:rsidRPr="00701559">
              <w:rPr>
                <w:rFonts w:asciiTheme="minorEastAsia" w:eastAsiaTheme="minorEastAsia" w:hAnsiTheme="minorEastAsia" w:hint="eastAsia"/>
                <w:sz w:val="22"/>
                <w:szCs w:val="22"/>
              </w:rPr>
              <w:t>，非利息净收入占比达到</w:t>
            </w:r>
            <w:r w:rsidRPr="00701559">
              <w:rPr>
                <w:rFonts w:asciiTheme="minorEastAsia" w:eastAsiaTheme="minorEastAsia" w:hAnsiTheme="minorEastAsia" w:cs="Arial" w:hint="eastAsia"/>
                <w:sz w:val="22"/>
                <w:szCs w:val="22"/>
              </w:rPr>
              <w:t>32</w:t>
            </w:r>
            <w:r w:rsidRPr="00701559">
              <w:rPr>
                <w:rFonts w:asciiTheme="minorEastAsia" w:eastAsiaTheme="minorEastAsia" w:hAnsiTheme="minorEastAsia" w:cs="Arial"/>
                <w:sz w:val="22"/>
                <w:szCs w:val="22"/>
              </w:rPr>
              <w:t>%</w:t>
            </w:r>
            <w:r w:rsidRPr="00701559">
              <w:rPr>
                <w:rFonts w:asciiTheme="minorEastAsia" w:eastAsiaTheme="minorEastAsia" w:hAnsiTheme="minorEastAsia" w:hint="eastAsia"/>
                <w:sz w:val="22"/>
                <w:szCs w:val="22"/>
              </w:rPr>
              <w:t>；手续费净收入</w:t>
            </w:r>
            <w:r w:rsidRPr="00701559">
              <w:rPr>
                <w:rFonts w:asciiTheme="minorEastAsia" w:eastAsiaTheme="minorEastAsia" w:hAnsiTheme="minorEastAsia" w:cs="Arial" w:hint="eastAsia"/>
                <w:sz w:val="22"/>
                <w:szCs w:val="22"/>
              </w:rPr>
              <w:t>202</w:t>
            </w:r>
            <w:r w:rsidRPr="00701559">
              <w:rPr>
                <w:rFonts w:asciiTheme="minorEastAsia" w:eastAsiaTheme="minorEastAsia" w:hAnsiTheme="minorEastAsia" w:hint="eastAsia"/>
                <w:sz w:val="22"/>
                <w:szCs w:val="22"/>
              </w:rPr>
              <w:t>亿元，同比增幅</w:t>
            </w:r>
            <w:r w:rsidRPr="00701559">
              <w:rPr>
                <w:rFonts w:asciiTheme="minorEastAsia" w:eastAsiaTheme="minorEastAsia" w:hAnsiTheme="minorEastAsia" w:cs="Arial" w:hint="eastAsia"/>
                <w:sz w:val="22"/>
                <w:szCs w:val="22"/>
              </w:rPr>
              <w:t>58</w:t>
            </w:r>
            <w:r w:rsidRPr="00701559">
              <w:rPr>
                <w:rFonts w:asciiTheme="minorEastAsia" w:eastAsiaTheme="minorEastAsia" w:hAnsiTheme="minorEastAsia" w:cs="Arial"/>
                <w:sz w:val="22"/>
                <w:szCs w:val="22"/>
              </w:rPr>
              <w:t>%</w:t>
            </w:r>
            <w:r w:rsidRPr="00701559">
              <w:rPr>
                <w:rFonts w:asciiTheme="minorEastAsia" w:eastAsiaTheme="minorEastAsia" w:hAnsiTheme="minorEastAsia" w:hint="eastAsia"/>
                <w:sz w:val="22"/>
                <w:szCs w:val="22"/>
              </w:rPr>
              <w:t>，占比达到</w:t>
            </w:r>
            <w:r w:rsidRPr="00701559">
              <w:rPr>
                <w:rFonts w:asciiTheme="minorEastAsia" w:eastAsiaTheme="minorEastAsia" w:hAnsiTheme="minorEastAsia" w:cs="Arial" w:hint="eastAsia"/>
                <w:sz w:val="22"/>
                <w:szCs w:val="22"/>
              </w:rPr>
              <w:t>28</w:t>
            </w:r>
            <w:r w:rsidRPr="00701559">
              <w:rPr>
                <w:rFonts w:asciiTheme="minorEastAsia" w:eastAsiaTheme="minorEastAsia" w:hAnsiTheme="minorEastAsia" w:cs="Arial"/>
                <w:sz w:val="22"/>
                <w:szCs w:val="22"/>
              </w:rPr>
              <w:t>%</w:t>
            </w:r>
            <w:r w:rsidRPr="00701559">
              <w:rPr>
                <w:rFonts w:asciiTheme="minorEastAsia" w:eastAsiaTheme="minorEastAsia" w:hAnsiTheme="minorEastAsia" w:hint="eastAsia"/>
                <w:sz w:val="22"/>
                <w:szCs w:val="22"/>
              </w:rPr>
              <w:t>。其中投行业务手续费收入</w:t>
            </w:r>
            <w:r w:rsidRPr="00701559">
              <w:rPr>
                <w:rFonts w:asciiTheme="minorEastAsia" w:eastAsiaTheme="minorEastAsia" w:hAnsiTheme="minorEastAsia" w:cs="Arial" w:hint="eastAsia"/>
                <w:sz w:val="22"/>
                <w:szCs w:val="22"/>
              </w:rPr>
              <w:t>46</w:t>
            </w:r>
            <w:r w:rsidRPr="00701559">
              <w:rPr>
                <w:rFonts w:asciiTheme="minorEastAsia" w:eastAsiaTheme="minorEastAsia" w:hAnsiTheme="minorEastAsia" w:hint="eastAsia"/>
                <w:sz w:val="22"/>
                <w:szCs w:val="22"/>
              </w:rPr>
              <w:t>亿元、同比增加</w:t>
            </w:r>
            <w:r w:rsidRPr="00701559">
              <w:rPr>
                <w:rFonts w:asciiTheme="minorEastAsia" w:eastAsiaTheme="minorEastAsia" w:hAnsiTheme="minorEastAsia" w:cs="Arial" w:hint="eastAsia"/>
                <w:sz w:val="22"/>
                <w:szCs w:val="22"/>
              </w:rPr>
              <w:t>23</w:t>
            </w:r>
            <w:r w:rsidRPr="00701559">
              <w:rPr>
                <w:rFonts w:asciiTheme="minorEastAsia" w:eastAsiaTheme="minorEastAsia" w:hAnsiTheme="minorEastAsia" w:hint="eastAsia"/>
                <w:sz w:val="22"/>
                <w:szCs w:val="22"/>
              </w:rPr>
              <w:t>亿元，托管手续费收入</w:t>
            </w:r>
            <w:r w:rsidRPr="00701559">
              <w:rPr>
                <w:rFonts w:asciiTheme="minorEastAsia" w:eastAsiaTheme="minorEastAsia" w:hAnsiTheme="minorEastAsia" w:cs="Arial"/>
                <w:sz w:val="22"/>
                <w:szCs w:val="22"/>
              </w:rPr>
              <w:t>2</w:t>
            </w:r>
            <w:r w:rsidRPr="00701559">
              <w:rPr>
                <w:rFonts w:asciiTheme="minorEastAsia" w:eastAsiaTheme="minorEastAsia" w:hAnsiTheme="minorEastAsia" w:cs="Arial" w:hint="eastAsia"/>
                <w:sz w:val="22"/>
                <w:szCs w:val="22"/>
              </w:rPr>
              <w:t>4</w:t>
            </w:r>
            <w:r w:rsidRPr="00701559">
              <w:rPr>
                <w:rFonts w:asciiTheme="minorEastAsia" w:eastAsiaTheme="minorEastAsia" w:hAnsiTheme="minorEastAsia" w:hint="eastAsia"/>
                <w:sz w:val="22"/>
                <w:szCs w:val="22"/>
              </w:rPr>
              <w:t>亿元、同比增加</w:t>
            </w:r>
            <w:r w:rsidRPr="00701559">
              <w:rPr>
                <w:rFonts w:asciiTheme="minorEastAsia" w:eastAsiaTheme="minorEastAsia" w:hAnsiTheme="minorEastAsia" w:cs="Arial"/>
                <w:sz w:val="22"/>
                <w:szCs w:val="22"/>
              </w:rPr>
              <w:t>13</w:t>
            </w:r>
            <w:r w:rsidRPr="00701559">
              <w:rPr>
                <w:rFonts w:asciiTheme="minorEastAsia" w:eastAsiaTheme="minorEastAsia" w:hAnsiTheme="minorEastAsia" w:hint="eastAsia"/>
                <w:sz w:val="22"/>
                <w:szCs w:val="22"/>
              </w:rPr>
              <w:t>亿元，代理（含黄金租赁）收入</w:t>
            </w:r>
            <w:r w:rsidRPr="00701559">
              <w:rPr>
                <w:rFonts w:asciiTheme="minorEastAsia" w:eastAsiaTheme="minorEastAsia" w:hAnsiTheme="minorEastAsia" w:cs="Arial" w:hint="eastAsia"/>
                <w:sz w:val="22"/>
                <w:szCs w:val="22"/>
              </w:rPr>
              <w:t>35</w:t>
            </w:r>
            <w:r w:rsidRPr="00701559">
              <w:rPr>
                <w:rFonts w:asciiTheme="minorEastAsia" w:eastAsiaTheme="minorEastAsia" w:hAnsiTheme="minorEastAsia" w:hint="eastAsia"/>
                <w:sz w:val="22"/>
                <w:szCs w:val="22"/>
              </w:rPr>
              <w:t>亿元、同比增加</w:t>
            </w:r>
            <w:r w:rsidRPr="00701559">
              <w:rPr>
                <w:rFonts w:asciiTheme="minorEastAsia" w:eastAsiaTheme="minorEastAsia" w:hAnsiTheme="minorEastAsia" w:cs="Arial" w:hint="eastAsia"/>
                <w:sz w:val="22"/>
                <w:szCs w:val="22"/>
              </w:rPr>
              <w:t>15</w:t>
            </w:r>
            <w:r w:rsidRPr="00701559">
              <w:rPr>
                <w:rFonts w:asciiTheme="minorEastAsia" w:eastAsiaTheme="minorEastAsia" w:hAnsiTheme="minorEastAsia" w:hint="eastAsia"/>
                <w:sz w:val="22"/>
                <w:szCs w:val="22"/>
              </w:rPr>
              <w:t>亿元。</w:t>
            </w:r>
          </w:p>
          <w:p w:rsidR="00701559" w:rsidRPr="00701559" w:rsidRDefault="00701559" w:rsidP="00701559">
            <w:pPr>
              <w:adjustRightInd w:val="0"/>
              <w:snapToGrid w:val="0"/>
              <w:spacing w:afterLines="20"/>
              <w:ind w:firstLineChars="200" w:firstLine="440"/>
              <w:jc w:val="left"/>
              <w:rPr>
                <w:rFonts w:asciiTheme="minorEastAsia" w:eastAsiaTheme="minorEastAsia" w:hAnsiTheme="minorEastAsia" w:cs="楷体_GB2312"/>
                <w:color w:val="000000" w:themeColor="text1"/>
                <w:sz w:val="22"/>
                <w:szCs w:val="22"/>
              </w:rPr>
            </w:pPr>
            <w:r w:rsidRPr="00701559">
              <w:rPr>
                <w:rFonts w:asciiTheme="minorEastAsia" w:eastAsiaTheme="minorEastAsia" w:hAnsiTheme="minorEastAsia" w:cs="楷体_GB2312" w:hint="eastAsia"/>
                <w:color w:val="000000" w:themeColor="text1"/>
                <w:sz w:val="22"/>
                <w:szCs w:val="22"/>
              </w:rPr>
              <w:t>预计未来随着客户基础进一步夯实，基础结算、理财、</w:t>
            </w:r>
            <w:proofErr w:type="gramStart"/>
            <w:r w:rsidRPr="00701559">
              <w:rPr>
                <w:rFonts w:asciiTheme="minorEastAsia" w:eastAsiaTheme="minorEastAsia" w:hAnsiTheme="minorEastAsia" w:cs="楷体_GB2312" w:hint="eastAsia"/>
                <w:color w:val="000000" w:themeColor="text1"/>
                <w:sz w:val="22"/>
                <w:szCs w:val="22"/>
              </w:rPr>
              <w:t>资管等</w:t>
            </w:r>
            <w:proofErr w:type="gramEnd"/>
            <w:r w:rsidRPr="00701559">
              <w:rPr>
                <w:rFonts w:asciiTheme="minorEastAsia" w:eastAsiaTheme="minorEastAsia" w:hAnsiTheme="minorEastAsia" w:cs="楷体_GB2312" w:hint="eastAsia"/>
                <w:color w:val="000000" w:themeColor="text1"/>
                <w:sz w:val="22"/>
                <w:szCs w:val="22"/>
              </w:rPr>
              <w:t>业务保持较好增长，随着产业基金等重点业务进一步拓展，中间业务收入绝对额仍将同比增长，但由于基数不断扩大，预计增长率将有所放缓。</w:t>
            </w:r>
          </w:p>
          <w:p w:rsidR="00217D1A" w:rsidRPr="00701559" w:rsidRDefault="00217D1A" w:rsidP="00ED74AF">
            <w:pPr>
              <w:autoSpaceDE w:val="0"/>
              <w:autoSpaceDN w:val="0"/>
              <w:adjustRightInd w:val="0"/>
              <w:snapToGrid w:val="0"/>
              <w:spacing w:beforeLines="50" w:line="288" w:lineRule="auto"/>
              <w:ind w:left="318" w:firstLineChars="200" w:firstLine="48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</w:p>
          <w:p w:rsidR="00EE1C10" w:rsidRPr="00701559" w:rsidRDefault="00A140B8" w:rsidP="00B708D6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701559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接待过程中，公司接待人员与投资者进行了充分的交流与沟通，严格按照有关制度规定，没有出现未公开重大信息泄露等情况。</w:t>
            </w:r>
          </w:p>
        </w:tc>
      </w:tr>
      <w:tr w:rsidR="00EE1C10" w:rsidRPr="007A446E" w:rsidTr="008F16A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7A446E" w:rsidRDefault="00EE1C10" w:rsidP="008F16A2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7A446E">
              <w:rPr>
                <w:rFonts w:ascii="Arial" w:hAnsi="Times" w:hint="eastAsia"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7A446E" w:rsidRDefault="00217D1A" w:rsidP="00701559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7A446E">
              <w:rPr>
                <w:rFonts w:ascii="Arial" w:hAnsi="Arial" w:hint="eastAsia"/>
                <w:bCs/>
                <w:iCs/>
                <w:color w:val="000000"/>
                <w:sz w:val="24"/>
              </w:rPr>
              <w:t>201</w:t>
            </w:r>
            <w:r w:rsidR="007A446E" w:rsidRPr="007A446E">
              <w:rPr>
                <w:rFonts w:ascii="Arial" w:hAnsi="Arial" w:hint="eastAsia"/>
                <w:bCs/>
                <w:iCs/>
                <w:color w:val="000000"/>
                <w:sz w:val="24"/>
              </w:rPr>
              <w:t>5</w:t>
            </w:r>
            <w:r w:rsidRPr="007A446E">
              <w:rPr>
                <w:rFonts w:ascii="Arial" w:hAnsi="Times" w:hint="eastAsia"/>
                <w:bCs/>
                <w:iCs/>
                <w:color w:val="000000"/>
                <w:sz w:val="24"/>
              </w:rPr>
              <w:t>年</w:t>
            </w:r>
            <w:r w:rsidR="00701559">
              <w:rPr>
                <w:rFonts w:ascii="Arial" w:hAnsi="Times" w:hint="eastAsia"/>
                <w:bCs/>
                <w:iCs/>
                <w:color w:val="000000"/>
                <w:sz w:val="24"/>
              </w:rPr>
              <w:t>三季度</w:t>
            </w:r>
            <w:r w:rsidRPr="007A446E">
              <w:rPr>
                <w:rFonts w:ascii="Arial" w:hAnsi="Times" w:hint="eastAsia"/>
                <w:bCs/>
                <w:iCs/>
                <w:color w:val="000000"/>
                <w:sz w:val="24"/>
              </w:rPr>
              <w:t>业绩</w:t>
            </w:r>
            <w:r w:rsidR="00D87038" w:rsidRPr="007A446E">
              <w:rPr>
                <w:rFonts w:ascii="Arial" w:hAnsi="Arial" w:hint="eastAsia"/>
                <w:bCs/>
                <w:iCs/>
                <w:color w:val="000000"/>
                <w:sz w:val="24"/>
              </w:rPr>
              <w:t>PPT</w:t>
            </w:r>
            <w:r w:rsidR="00D87038" w:rsidRPr="007A446E">
              <w:rPr>
                <w:rFonts w:ascii="Arial" w:hAnsi="Times" w:hint="eastAsia"/>
                <w:bCs/>
                <w:iCs/>
                <w:color w:val="000000"/>
                <w:sz w:val="24"/>
              </w:rPr>
              <w:t>（请参见</w:t>
            </w:r>
            <w:r w:rsidR="00D87038" w:rsidRPr="007A446E">
              <w:rPr>
                <w:rFonts w:ascii="Arial" w:hAnsi="Arial" w:hint="eastAsia"/>
                <w:bCs/>
                <w:iCs/>
                <w:color w:val="000000"/>
                <w:sz w:val="24"/>
              </w:rPr>
              <w:t>bank.pingan.com</w:t>
            </w:r>
            <w:r w:rsidR="00D87038" w:rsidRPr="007A446E">
              <w:rPr>
                <w:rFonts w:ascii="Arial" w:hAnsi="Times" w:hint="eastAsia"/>
                <w:bCs/>
                <w:iCs/>
                <w:color w:val="000000"/>
                <w:sz w:val="24"/>
              </w:rPr>
              <w:t>投资者关系</w:t>
            </w:r>
            <w:r w:rsidR="00D87038" w:rsidRPr="007A446E">
              <w:rPr>
                <w:rFonts w:ascii="Arial" w:hAnsi="Arial" w:hint="eastAsia"/>
                <w:bCs/>
                <w:iCs/>
                <w:color w:val="000000"/>
                <w:sz w:val="24"/>
              </w:rPr>
              <w:t>-</w:t>
            </w:r>
            <w:r w:rsidR="00D87038" w:rsidRPr="007A446E">
              <w:rPr>
                <w:rFonts w:ascii="Arial" w:hAnsi="Times" w:hint="eastAsia"/>
                <w:bCs/>
                <w:iCs/>
                <w:color w:val="000000"/>
                <w:sz w:val="24"/>
              </w:rPr>
              <w:t>公司推介栏目）</w:t>
            </w:r>
          </w:p>
        </w:tc>
      </w:tr>
      <w:tr w:rsidR="00EE1C10" w:rsidRPr="007A446E" w:rsidTr="008F16A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7A446E" w:rsidRDefault="00EE1C10" w:rsidP="008F16A2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7A446E">
              <w:rPr>
                <w:rFonts w:ascii="Arial" w:hAnsi="Times" w:hint="eastAsia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7A446E" w:rsidRDefault="00761259" w:rsidP="00701559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7A446E">
              <w:rPr>
                <w:rFonts w:ascii="Arial" w:hAnsi="Arial" w:hint="eastAsia"/>
                <w:bCs/>
                <w:iCs/>
                <w:color w:val="000000"/>
                <w:sz w:val="24"/>
              </w:rPr>
              <w:t>201</w:t>
            </w:r>
            <w:r w:rsidR="00862CF2" w:rsidRPr="007A446E">
              <w:rPr>
                <w:rFonts w:ascii="Arial" w:hAnsi="Arial" w:hint="eastAsia"/>
                <w:bCs/>
                <w:iCs/>
                <w:color w:val="000000"/>
                <w:sz w:val="24"/>
              </w:rPr>
              <w:t>5</w:t>
            </w:r>
            <w:r w:rsidRPr="007A446E">
              <w:rPr>
                <w:rFonts w:ascii="Arial" w:hAnsi="Arial" w:hint="eastAsia"/>
                <w:bCs/>
                <w:iCs/>
                <w:color w:val="000000"/>
                <w:sz w:val="24"/>
              </w:rPr>
              <w:t>.</w:t>
            </w:r>
            <w:r w:rsidR="00701559">
              <w:rPr>
                <w:rFonts w:ascii="Arial" w:hAnsi="Arial" w:hint="eastAsia"/>
                <w:bCs/>
                <w:iCs/>
                <w:color w:val="000000"/>
                <w:sz w:val="24"/>
              </w:rPr>
              <w:t>10</w:t>
            </w:r>
            <w:r w:rsidRPr="007A446E">
              <w:rPr>
                <w:rFonts w:ascii="Arial" w:hAnsi="Arial" w:hint="eastAsia"/>
                <w:bCs/>
                <w:iCs/>
                <w:color w:val="000000"/>
                <w:sz w:val="24"/>
              </w:rPr>
              <w:t>.</w:t>
            </w:r>
            <w:r w:rsidR="00701559">
              <w:rPr>
                <w:rFonts w:ascii="Arial" w:hAnsi="Arial" w:hint="eastAsia"/>
                <w:bCs/>
                <w:iCs/>
                <w:color w:val="000000"/>
                <w:sz w:val="24"/>
              </w:rPr>
              <w:t>27</w:t>
            </w:r>
          </w:p>
        </w:tc>
      </w:tr>
    </w:tbl>
    <w:p w:rsidR="00941F1C" w:rsidRPr="007A446E" w:rsidRDefault="00941F1C" w:rsidP="00862CF2">
      <w:pPr>
        <w:rPr>
          <w:rFonts w:ascii="Arial" w:hAnsi="Arial"/>
          <w:sz w:val="24"/>
        </w:rPr>
      </w:pPr>
    </w:p>
    <w:sectPr w:rsidR="00941F1C" w:rsidRPr="007A446E" w:rsidSect="00941F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BA5" w:rsidRDefault="00EC5BA5" w:rsidP="00D96584">
      <w:r>
        <w:separator/>
      </w:r>
    </w:p>
  </w:endnote>
  <w:endnote w:type="continuationSeparator" w:id="0">
    <w:p w:rsidR="00EC5BA5" w:rsidRDefault="00EC5BA5" w:rsidP="00D965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准圆_GBK_平安专用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altName w:val="..ì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BA5" w:rsidRDefault="00EC5BA5" w:rsidP="00D96584">
      <w:r>
        <w:separator/>
      </w:r>
    </w:p>
  </w:footnote>
  <w:footnote w:type="continuationSeparator" w:id="0">
    <w:p w:rsidR="00EC5BA5" w:rsidRDefault="00EC5BA5" w:rsidP="00D965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40C2"/>
    <w:multiLevelType w:val="hybridMultilevel"/>
    <w:tmpl w:val="0E6473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59F5992"/>
    <w:multiLevelType w:val="hybridMultilevel"/>
    <w:tmpl w:val="FFD8AA9E"/>
    <w:lvl w:ilvl="0" w:tplc="B818F4A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8A80BC4E">
      <w:start w:val="1"/>
      <w:numFmt w:val="bullet"/>
      <w:lvlText w:val=""/>
      <w:lvlJc w:val="left"/>
      <w:pPr>
        <w:tabs>
          <w:tab w:val="num" w:pos="420"/>
        </w:tabs>
        <w:ind w:left="420" w:firstLine="0"/>
      </w:pPr>
      <w:rPr>
        <w:rFonts w:ascii="Wingdings" w:hAnsi="Wingdings" w:hint="default"/>
      </w:rPr>
    </w:lvl>
    <w:lvl w:ilvl="2" w:tplc="B57CE62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456828A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BF6794A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856279E6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E126EB9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2F2626EA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41747532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77D07EC"/>
    <w:multiLevelType w:val="multilevel"/>
    <w:tmpl w:val="429844D0"/>
    <w:lvl w:ilvl="0">
      <w:start w:val="1"/>
      <w:numFmt w:val="decimal"/>
      <w:pStyle w:val="FAQ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C304D8B"/>
    <w:multiLevelType w:val="multilevel"/>
    <w:tmpl w:val="E29C0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A14E31"/>
    <w:multiLevelType w:val="hybridMultilevel"/>
    <w:tmpl w:val="B672E7CC"/>
    <w:lvl w:ilvl="0" w:tplc="181EB6B6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 w:tplc="E28CD87E" w:tentative="1">
      <w:start w:val="1"/>
      <w:numFmt w:val="lowerLetter"/>
      <w:lvlText w:val="%2)"/>
      <w:lvlJc w:val="left"/>
      <w:pPr>
        <w:ind w:left="840" w:hanging="420"/>
      </w:pPr>
    </w:lvl>
    <w:lvl w:ilvl="2" w:tplc="D604EFA6" w:tentative="1">
      <w:start w:val="1"/>
      <w:numFmt w:val="lowerRoman"/>
      <w:lvlText w:val="%3."/>
      <w:lvlJc w:val="right"/>
      <w:pPr>
        <w:ind w:left="1260" w:hanging="420"/>
      </w:pPr>
    </w:lvl>
    <w:lvl w:ilvl="3" w:tplc="7CBCA43A" w:tentative="1">
      <w:start w:val="1"/>
      <w:numFmt w:val="decimal"/>
      <w:lvlText w:val="%4."/>
      <w:lvlJc w:val="left"/>
      <w:pPr>
        <w:ind w:left="1680" w:hanging="420"/>
      </w:pPr>
    </w:lvl>
    <w:lvl w:ilvl="4" w:tplc="CE36A14E" w:tentative="1">
      <w:start w:val="1"/>
      <w:numFmt w:val="lowerLetter"/>
      <w:lvlText w:val="%5)"/>
      <w:lvlJc w:val="left"/>
      <w:pPr>
        <w:ind w:left="2100" w:hanging="420"/>
      </w:pPr>
    </w:lvl>
    <w:lvl w:ilvl="5" w:tplc="A1748F72" w:tentative="1">
      <w:start w:val="1"/>
      <w:numFmt w:val="lowerRoman"/>
      <w:lvlText w:val="%6."/>
      <w:lvlJc w:val="right"/>
      <w:pPr>
        <w:ind w:left="2520" w:hanging="420"/>
      </w:pPr>
    </w:lvl>
    <w:lvl w:ilvl="6" w:tplc="A1523FBE" w:tentative="1">
      <w:start w:val="1"/>
      <w:numFmt w:val="decimal"/>
      <w:lvlText w:val="%7."/>
      <w:lvlJc w:val="left"/>
      <w:pPr>
        <w:ind w:left="2940" w:hanging="420"/>
      </w:pPr>
    </w:lvl>
    <w:lvl w:ilvl="7" w:tplc="BDF04C12" w:tentative="1">
      <w:start w:val="1"/>
      <w:numFmt w:val="lowerLetter"/>
      <w:lvlText w:val="%8)"/>
      <w:lvlJc w:val="left"/>
      <w:pPr>
        <w:ind w:left="3360" w:hanging="420"/>
      </w:pPr>
    </w:lvl>
    <w:lvl w:ilvl="8" w:tplc="A7AA920E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2531BD9"/>
    <w:multiLevelType w:val="hybridMultilevel"/>
    <w:tmpl w:val="C186B9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37D63B9"/>
    <w:multiLevelType w:val="hybridMultilevel"/>
    <w:tmpl w:val="E3E0A0EE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7">
    <w:nsid w:val="1B427BE6"/>
    <w:multiLevelType w:val="multilevel"/>
    <w:tmpl w:val="EBBC1982"/>
    <w:styleLink w:val="List1"/>
    <w:lvl w:ilvl="0">
      <w:start w:val="15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)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)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)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8">
    <w:nsid w:val="1E3055A1"/>
    <w:multiLevelType w:val="hybridMultilevel"/>
    <w:tmpl w:val="9314D888"/>
    <w:lvl w:ilvl="0" w:tplc="4DFC0EF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9DBE0DC6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DEA4CFF8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ABC538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9B50DB78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111CD4AA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2842DD0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A33CAAEA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4E86005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28AC1786"/>
    <w:multiLevelType w:val="hybridMultilevel"/>
    <w:tmpl w:val="29CCDE1C"/>
    <w:lvl w:ilvl="0" w:tplc="4DFC0EF8">
      <w:start w:val="1"/>
      <w:numFmt w:val="lowerLetter"/>
      <w:lvlText w:val="%1)"/>
      <w:lvlJc w:val="left"/>
      <w:pPr>
        <w:ind w:left="1260" w:hanging="540"/>
      </w:pPr>
      <w:rPr>
        <w:rFonts w:hint="default"/>
      </w:rPr>
    </w:lvl>
    <w:lvl w:ilvl="1" w:tplc="9DBE0DC6" w:tentative="1">
      <w:start w:val="1"/>
      <w:numFmt w:val="lowerLetter"/>
      <w:lvlText w:val="%2)"/>
      <w:lvlJc w:val="left"/>
      <w:pPr>
        <w:ind w:left="1560" w:hanging="420"/>
      </w:pPr>
    </w:lvl>
    <w:lvl w:ilvl="2" w:tplc="DEA4CFF8" w:tentative="1">
      <w:start w:val="1"/>
      <w:numFmt w:val="lowerRoman"/>
      <w:lvlText w:val="%3."/>
      <w:lvlJc w:val="right"/>
      <w:pPr>
        <w:ind w:left="1980" w:hanging="420"/>
      </w:pPr>
    </w:lvl>
    <w:lvl w:ilvl="3" w:tplc="0ABC538C" w:tentative="1">
      <w:start w:val="1"/>
      <w:numFmt w:val="decimal"/>
      <w:lvlText w:val="%4."/>
      <w:lvlJc w:val="left"/>
      <w:pPr>
        <w:ind w:left="2400" w:hanging="420"/>
      </w:pPr>
    </w:lvl>
    <w:lvl w:ilvl="4" w:tplc="9B50DB78" w:tentative="1">
      <w:start w:val="1"/>
      <w:numFmt w:val="lowerLetter"/>
      <w:lvlText w:val="%5)"/>
      <w:lvlJc w:val="left"/>
      <w:pPr>
        <w:ind w:left="2820" w:hanging="420"/>
      </w:pPr>
    </w:lvl>
    <w:lvl w:ilvl="5" w:tplc="111CD4AA" w:tentative="1">
      <w:start w:val="1"/>
      <w:numFmt w:val="lowerRoman"/>
      <w:lvlText w:val="%6."/>
      <w:lvlJc w:val="right"/>
      <w:pPr>
        <w:ind w:left="3240" w:hanging="420"/>
      </w:pPr>
    </w:lvl>
    <w:lvl w:ilvl="6" w:tplc="2842DD04" w:tentative="1">
      <w:start w:val="1"/>
      <w:numFmt w:val="decimal"/>
      <w:lvlText w:val="%7."/>
      <w:lvlJc w:val="left"/>
      <w:pPr>
        <w:ind w:left="3660" w:hanging="420"/>
      </w:pPr>
    </w:lvl>
    <w:lvl w:ilvl="7" w:tplc="A33CAAEA" w:tentative="1">
      <w:start w:val="1"/>
      <w:numFmt w:val="lowerLetter"/>
      <w:lvlText w:val="%8)"/>
      <w:lvlJc w:val="left"/>
      <w:pPr>
        <w:ind w:left="4080" w:hanging="420"/>
      </w:pPr>
    </w:lvl>
    <w:lvl w:ilvl="8" w:tplc="4E860058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0">
    <w:nsid w:val="2EBF1A32"/>
    <w:multiLevelType w:val="hybridMultilevel"/>
    <w:tmpl w:val="8D9E8B94"/>
    <w:lvl w:ilvl="0" w:tplc="4DFC0EF8">
      <w:start w:val="1"/>
      <w:numFmt w:val="lowerLetter"/>
      <w:lvlText w:val="%1)"/>
      <w:lvlJc w:val="left"/>
      <w:pPr>
        <w:ind w:left="1260" w:hanging="540"/>
      </w:pPr>
      <w:rPr>
        <w:rFonts w:hint="default"/>
      </w:rPr>
    </w:lvl>
    <w:lvl w:ilvl="1" w:tplc="9DBE0DC6" w:tentative="1">
      <w:start w:val="1"/>
      <w:numFmt w:val="lowerLetter"/>
      <w:lvlText w:val="%2)"/>
      <w:lvlJc w:val="left"/>
      <w:pPr>
        <w:ind w:left="1560" w:hanging="420"/>
      </w:pPr>
    </w:lvl>
    <w:lvl w:ilvl="2" w:tplc="DEA4CFF8" w:tentative="1">
      <w:start w:val="1"/>
      <w:numFmt w:val="lowerRoman"/>
      <w:lvlText w:val="%3."/>
      <w:lvlJc w:val="right"/>
      <w:pPr>
        <w:ind w:left="1980" w:hanging="420"/>
      </w:pPr>
    </w:lvl>
    <w:lvl w:ilvl="3" w:tplc="0ABC538C" w:tentative="1">
      <w:start w:val="1"/>
      <w:numFmt w:val="decimal"/>
      <w:lvlText w:val="%4."/>
      <w:lvlJc w:val="left"/>
      <w:pPr>
        <w:ind w:left="2400" w:hanging="420"/>
      </w:pPr>
    </w:lvl>
    <w:lvl w:ilvl="4" w:tplc="9B50DB78" w:tentative="1">
      <w:start w:val="1"/>
      <w:numFmt w:val="lowerLetter"/>
      <w:lvlText w:val="%5)"/>
      <w:lvlJc w:val="left"/>
      <w:pPr>
        <w:ind w:left="2820" w:hanging="420"/>
      </w:pPr>
    </w:lvl>
    <w:lvl w:ilvl="5" w:tplc="111CD4AA" w:tentative="1">
      <w:start w:val="1"/>
      <w:numFmt w:val="lowerRoman"/>
      <w:lvlText w:val="%6."/>
      <w:lvlJc w:val="right"/>
      <w:pPr>
        <w:ind w:left="3240" w:hanging="420"/>
      </w:pPr>
    </w:lvl>
    <w:lvl w:ilvl="6" w:tplc="2842DD04" w:tentative="1">
      <w:start w:val="1"/>
      <w:numFmt w:val="decimal"/>
      <w:lvlText w:val="%7."/>
      <w:lvlJc w:val="left"/>
      <w:pPr>
        <w:ind w:left="3660" w:hanging="420"/>
      </w:pPr>
    </w:lvl>
    <w:lvl w:ilvl="7" w:tplc="A33CAAEA" w:tentative="1">
      <w:start w:val="1"/>
      <w:numFmt w:val="lowerLetter"/>
      <w:lvlText w:val="%8)"/>
      <w:lvlJc w:val="left"/>
      <w:pPr>
        <w:ind w:left="4080" w:hanging="420"/>
      </w:pPr>
    </w:lvl>
    <w:lvl w:ilvl="8" w:tplc="4E860058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1">
    <w:nsid w:val="38C92885"/>
    <w:multiLevelType w:val="hybridMultilevel"/>
    <w:tmpl w:val="3BC8BADA"/>
    <w:lvl w:ilvl="0" w:tplc="4DFC0EF8">
      <w:start w:val="1"/>
      <w:numFmt w:val="decimal"/>
      <w:lvlText w:val="%1."/>
      <w:lvlJc w:val="left"/>
      <w:pPr>
        <w:ind w:left="420" w:hanging="420"/>
      </w:pPr>
    </w:lvl>
    <w:lvl w:ilvl="1" w:tplc="9DBE0DC6" w:tentative="1">
      <w:start w:val="1"/>
      <w:numFmt w:val="lowerLetter"/>
      <w:lvlText w:val="%2)"/>
      <w:lvlJc w:val="left"/>
      <w:pPr>
        <w:ind w:left="840" w:hanging="420"/>
      </w:pPr>
    </w:lvl>
    <w:lvl w:ilvl="2" w:tplc="DEA4CFF8" w:tentative="1">
      <w:start w:val="1"/>
      <w:numFmt w:val="lowerRoman"/>
      <w:lvlText w:val="%3."/>
      <w:lvlJc w:val="right"/>
      <w:pPr>
        <w:ind w:left="1260" w:hanging="420"/>
      </w:pPr>
    </w:lvl>
    <w:lvl w:ilvl="3" w:tplc="0ABC538C" w:tentative="1">
      <w:start w:val="1"/>
      <w:numFmt w:val="decimal"/>
      <w:lvlText w:val="%4."/>
      <w:lvlJc w:val="left"/>
      <w:pPr>
        <w:ind w:left="1680" w:hanging="420"/>
      </w:pPr>
    </w:lvl>
    <w:lvl w:ilvl="4" w:tplc="9B50DB78" w:tentative="1">
      <w:start w:val="1"/>
      <w:numFmt w:val="lowerLetter"/>
      <w:lvlText w:val="%5)"/>
      <w:lvlJc w:val="left"/>
      <w:pPr>
        <w:ind w:left="2100" w:hanging="420"/>
      </w:pPr>
    </w:lvl>
    <w:lvl w:ilvl="5" w:tplc="111CD4AA" w:tentative="1">
      <w:start w:val="1"/>
      <w:numFmt w:val="lowerRoman"/>
      <w:lvlText w:val="%6."/>
      <w:lvlJc w:val="right"/>
      <w:pPr>
        <w:ind w:left="2520" w:hanging="420"/>
      </w:pPr>
    </w:lvl>
    <w:lvl w:ilvl="6" w:tplc="2842DD04" w:tentative="1">
      <w:start w:val="1"/>
      <w:numFmt w:val="decimal"/>
      <w:lvlText w:val="%7."/>
      <w:lvlJc w:val="left"/>
      <w:pPr>
        <w:ind w:left="2940" w:hanging="420"/>
      </w:pPr>
    </w:lvl>
    <w:lvl w:ilvl="7" w:tplc="A33CAAEA" w:tentative="1">
      <w:start w:val="1"/>
      <w:numFmt w:val="lowerLetter"/>
      <w:lvlText w:val="%8)"/>
      <w:lvlJc w:val="left"/>
      <w:pPr>
        <w:ind w:left="3360" w:hanging="420"/>
      </w:pPr>
    </w:lvl>
    <w:lvl w:ilvl="8" w:tplc="4E86005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40A8320F"/>
    <w:multiLevelType w:val="hybridMultilevel"/>
    <w:tmpl w:val="F66C4FEA"/>
    <w:lvl w:ilvl="0" w:tplc="4DFC0E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DBE0DC6" w:tentative="1">
      <w:start w:val="1"/>
      <w:numFmt w:val="lowerLetter"/>
      <w:lvlText w:val="%2)"/>
      <w:lvlJc w:val="left"/>
      <w:pPr>
        <w:ind w:left="840" w:hanging="420"/>
      </w:pPr>
    </w:lvl>
    <w:lvl w:ilvl="2" w:tplc="DEA4CFF8" w:tentative="1">
      <w:start w:val="1"/>
      <w:numFmt w:val="lowerRoman"/>
      <w:lvlText w:val="%3."/>
      <w:lvlJc w:val="right"/>
      <w:pPr>
        <w:ind w:left="1260" w:hanging="420"/>
      </w:pPr>
    </w:lvl>
    <w:lvl w:ilvl="3" w:tplc="0ABC538C" w:tentative="1">
      <w:start w:val="1"/>
      <w:numFmt w:val="decimal"/>
      <w:lvlText w:val="%4."/>
      <w:lvlJc w:val="left"/>
      <w:pPr>
        <w:ind w:left="1680" w:hanging="420"/>
      </w:pPr>
    </w:lvl>
    <w:lvl w:ilvl="4" w:tplc="9B50DB78" w:tentative="1">
      <w:start w:val="1"/>
      <w:numFmt w:val="lowerLetter"/>
      <w:lvlText w:val="%5)"/>
      <w:lvlJc w:val="left"/>
      <w:pPr>
        <w:ind w:left="2100" w:hanging="420"/>
      </w:pPr>
    </w:lvl>
    <w:lvl w:ilvl="5" w:tplc="111CD4AA" w:tentative="1">
      <w:start w:val="1"/>
      <w:numFmt w:val="lowerRoman"/>
      <w:lvlText w:val="%6."/>
      <w:lvlJc w:val="right"/>
      <w:pPr>
        <w:ind w:left="2520" w:hanging="420"/>
      </w:pPr>
    </w:lvl>
    <w:lvl w:ilvl="6" w:tplc="2842DD04" w:tentative="1">
      <w:start w:val="1"/>
      <w:numFmt w:val="decimal"/>
      <w:lvlText w:val="%7."/>
      <w:lvlJc w:val="left"/>
      <w:pPr>
        <w:ind w:left="2940" w:hanging="420"/>
      </w:pPr>
    </w:lvl>
    <w:lvl w:ilvl="7" w:tplc="A33CAAEA" w:tentative="1">
      <w:start w:val="1"/>
      <w:numFmt w:val="lowerLetter"/>
      <w:lvlText w:val="%8)"/>
      <w:lvlJc w:val="left"/>
      <w:pPr>
        <w:ind w:left="3360" w:hanging="420"/>
      </w:pPr>
    </w:lvl>
    <w:lvl w:ilvl="8" w:tplc="4E86005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18D7EF7"/>
    <w:multiLevelType w:val="hybridMultilevel"/>
    <w:tmpl w:val="C87CB43A"/>
    <w:lvl w:ilvl="0" w:tplc="4DFC0EF8">
      <w:start w:val="1"/>
      <w:numFmt w:val="decimal"/>
      <w:lvlText w:val="%1."/>
      <w:lvlJc w:val="left"/>
      <w:pPr>
        <w:ind w:left="360" w:hanging="360"/>
      </w:pPr>
      <w:rPr>
        <w:rFonts w:cs="Arial Unicode MS" w:hint="default"/>
      </w:rPr>
    </w:lvl>
    <w:lvl w:ilvl="1" w:tplc="9DBE0DC6" w:tentative="1">
      <w:start w:val="1"/>
      <w:numFmt w:val="lowerLetter"/>
      <w:lvlText w:val="%2)"/>
      <w:lvlJc w:val="left"/>
      <w:pPr>
        <w:ind w:left="840" w:hanging="420"/>
      </w:pPr>
    </w:lvl>
    <w:lvl w:ilvl="2" w:tplc="DEA4CFF8" w:tentative="1">
      <w:start w:val="1"/>
      <w:numFmt w:val="lowerRoman"/>
      <w:lvlText w:val="%3."/>
      <w:lvlJc w:val="right"/>
      <w:pPr>
        <w:ind w:left="1260" w:hanging="420"/>
      </w:pPr>
    </w:lvl>
    <w:lvl w:ilvl="3" w:tplc="0ABC538C" w:tentative="1">
      <w:start w:val="1"/>
      <w:numFmt w:val="decimal"/>
      <w:lvlText w:val="%4."/>
      <w:lvlJc w:val="left"/>
      <w:pPr>
        <w:ind w:left="1680" w:hanging="420"/>
      </w:pPr>
    </w:lvl>
    <w:lvl w:ilvl="4" w:tplc="9B50DB78" w:tentative="1">
      <w:start w:val="1"/>
      <w:numFmt w:val="lowerLetter"/>
      <w:lvlText w:val="%5)"/>
      <w:lvlJc w:val="left"/>
      <w:pPr>
        <w:ind w:left="2100" w:hanging="420"/>
      </w:pPr>
    </w:lvl>
    <w:lvl w:ilvl="5" w:tplc="111CD4AA" w:tentative="1">
      <w:start w:val="1"/>
      <w:numFmt w:val="lowerRoman"/>
      <w:lvlText w:val="%6."/>
      <w:lvlJc w:val="right"/>
      <w:pPr>
        <w:ind w:left="2520" w:hanging="420"/>
      </w:pPr>
    </w:lvl>
    <w:lvl w:ilvl="6" w:tplc="2842DD04" w:tentative="1">
      <w:start w:val="1"/>
      <w:numFmt w:val="decimal"/>
      <w:lvlText w:val="%7."/>
      <w:lvlJc w:val="left"/>
      <w:pPr>
        <w:ind w:left="2940" w:hanging="420"/>
      </w:pPr>
    </w:lvl>
    <w:lvl w:ilvl="7" w:tplc="A33CAAEA" w:tentative="1">
      <w:start w:val="1"/>
      <w:numFmt w:val="lowerLetter"/>
      <w:lvlText w:val="%8)"/>
      <w:lvlJc w:val="left"/>
      <w:pPr>
        <w:ind w:left="3360" w:hanging="420"/>
      </w:pPr>
    </w:lvl>
    <w:lvl w:ilvl="8" w:tplc="4E86005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2E624B2"/>
    <w:multiLevelType w:val="hybridMultilevel"/>
    <w:tmpl w:val="C51C5F94"/>
    <w:lvl w:ilvl="0" w:tplc="4DFC0EF8">
      <w:start w:val="3"/>
      <w:numFmt w:val="decimal"/>
      <w:lvlText w:val="%1，"/>
      <w:lvlJc w:val="left"/>
      <w:pPr>
        <w:ind w:left="720" w:hanging="720"/>
      </w:pPr>
      <w:rPr>
        <w:rFonts w:cs="Arial Unicode MS" w:hint="default"/>
      </w:rPr>
    </w:lvl>
    <w:lvl w:ilvl="1" w:tplc="9DBE0DC6" w:tentative="1">
      <w:start w:val="1"/>
      <w:numFmt w:val="lowerLetter"/>
      <w:lvlText w:val="%2)"/>
      <w:lvlJc w:val="left"/>
      <w:pPr>
        <w:ind w:left="840" w:hanging="420"/>
      </w:pPr>
    </w:lvl>
    <w:lvl w:ilvl="2" w:tplc="DEA4CFF8" w:tentative="1">
      <w:start w:val="1"/>
      <w:numFmt w:val="lowerRoman"/>
      <w:lvlText w:val="%3."/>
      <w:lvlJc w:val="right"/>
      <w:pPr>
        <w:ind w:left="1260" w:hanging="420"/>
      </w:pPr>
    </w:lvl>
    <w:lvl w:ilvl="3" w:tplc="0ABC538C" w:tentative="1">
      <w:start w:val="1"/>
      <w:numFmt w:val="decimal"/>
      <w:lvlText w:val="%4."/>
      <w:lvlJc w:val="left"/>
      <w:pPr>
        <w:ind w:left="1680" w:hanging="420"/>
      </w:pPr>
    </w:lvl>
    <w:lvl w:ilvl="4" w:tplc="9B50DB78" w:tentative="1">
      <w:start w:val="1"/>
      <w:numFmt w:val="lowerLetter"/>
      <w:lvlText w:val="%5)"/>
      <w:lvlJc w:val="left"/>
      <w:pPr>
        <w:ind w:left="2100" w:hanging="420"/>
      </w:pPr>
    </w:lvl>
    <w:lvl w:ilvl="5" w:tplc="111CD4AA" w:tentative="1">
      <w:start w:val="1"/>
      <w:numFmt w:val="lowerRoman"/>
      <w:lvlText w:val="%6."/>
      <w:lvlJc w:val="right"/>
      <w:pPr>
        <w:ind w:left="2520" w:hanging="420"/>
      </w:pPr>
    </w:lvl>
    <w:lvl w:ilvl="6" w:tplc="2842DD04" w:tentative="1">
      <w:start w:val="1"/>
      <w:numFmt w:val="decimal"/>
      <w:lvlText w:val="%7."/>
      <w:lvlJc w:val="left"/>
      <w:pPr>
        <w:ind w:left="2940" w:hanging="420"/>
      </w:pPr>
    </w:lvl>
    <w:lvl w:ilvl="7" w:tplc="A33CAAEA" w:tentative="1">
      <w:start w:val="1"/>
      <w:numFmt w:val="lowerLetter"/>
      <w:lvlText w:val="%8)"/>
      <w:lvlJc w:val="left"/>
      <w:pPr>
        <w:ind w:left="3360" w:hanging="420"/>
      </w:pPr>
    </w:lvl>
    <w:lvl w:ilvl="8" w:tplc="4E86005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55C23F02"/>
    <w:multiLevelType w:val="hybridMultilevel"/>
    <w:tmpl w:val="64C8DC7A"/>
    <w:lvl w:ilvl="0">
      <w:start w:val="1"/>
      <w:numFmt w:val="decimal"/>
      <w:pStyle w:val="3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5B7F6B72"/>
    <w:multiLevelType w:val="hybridMultilevel"/>
    <w:tmpl w:val="2524439C"/>
    <w:lvl w:ilvl="0" w:tplc="04090001">
      <w:start w:val="1"/>
      <w:numFmt w:val="decimal"/>
      <w:lvlText w:val="%1、"/>
      <w:lvlJc w:val="left"/>
      <w:pPr>
        <w:tabs>
          <w:tab w:val="num" w:pos="420"/>
        </w:tabs>
        <w:ind w:left="420" w:hanging="420"/>
      </w:pPr>
      <w:rPr>
        <w:rFonts w:hint="eastAsia"/>
        <w:b w:val="0"/>
      </w:rPr>
    </w:lvl>
    <w:lvl w:ilvl="1" w:tplc="04090003">
      <w:start w:val="1"/>
      <w:numFmt w:val="decimal"/>
      <w:lvlText w:val="%2、"/>
      <w:lvlJc w:val="left"/>
      <w:pPr>
        <w:tabs>
          <w:tab w:val="num" w:pos="354"/>
        </w:tabs>
        <w:ind w:left="354" w:hanging="360"/>
      </w:pPr>
      <w:rPr>
        <w:rFonts w:hint="eastAsia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834"/>
        </w:tabs>
        <w:ind w:left="834" w:hanging="42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254"/>
        </w:tabs>
        <w:ind w:left="1254" w:hanging="420"/>
      </w:pPr>
    </w:lvl>
    <w:lvl w:ilvl="4" w:tplc="04090003" w:tentative="1">
      <w:start w:val="1"/>
      <w:numFmt w:val="lowerLetter"/>
      <w:lvlText w:val="%5)"/>
      <w:lvlJc w:val="left"/>
      <w:pPr>
        <w:tabs>
          <w:tab w:val="num" w:pos="1674"/>
        </w:tabs>
        <w:ind w:left="1674" w:hanging="42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094"/>
        </w:tabs>
        <w:ind w:left="2094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514"/>
        </w:tabs>
        <w:ind w:left="2514" w:hanging="420"/>
      </w:pPr>
    </w:lvl>
    <w:lvl w:ilvl="7" w:tplc="04090003" w:tentative="1">
      <w:start w:val="1"/>
      <w:numFmt w:val="lowerLetter"/>
      <w:lvlText w:val="%8)"/>
      <w:lvlJc w:val="left"/>
      <w:pPr>
        <w:tabs>
          <w:tab w:val="num" w:pos="2934"/>
        </w:tabs>
        <w:ind w:left="2934" w:hanging="42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3354"/>
        </w:tabs>
        <w:ind w:left="3354" w:hanging="420"/>
      </w:pPr>
    </w:lvl>
  </w:abstractNum>
  <w:abstractNum w:abstractNumId="17">
    <w:nsid w:val="5F7717ED"/>
    <w:multiLevelType w:val="hybridMultilevel"/>
    <w:tmpl w:val="09209028"/>
    <w:lvl w:ilvl="0" w:tplc="015C8DD2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8">
    <w:nsid w:val="602A7B66"/>
    <w:multiLevelType w:val="multilevel"/>
    <w:tmpl w:val="97AAD274"/>
    <w:lvl w:ilvl="0">
      <w:start w:val="2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)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)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)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9">
    <w:nsid w:val="666C0CB7"/>
    <w:multiLevelType w:val="hybridMultilevel"/>
    <w:tmpl w:val="86B2FF9C"/>
    <w:lvl w:ilvl="0" w:tplc="0409000F">
      <w:start w:val="1"/>
      <w:numFmt w:val="decimal"/>
      <w:pStyle w:val="30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670A3D84"/>
    <w:multiLevelType w:val="hybridMultilevel"/>
    <w:tmpl w:val="795AD96C"/>
    <w:lvl w:ilvl="0" w:tplc="07220D5C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1">
    <w:nsid w:val="7D2420E2"/>
    <w:multiLevelType w:val="hybridMultilevel"/>
    <w:tmpl w:val="3E709AA6"/>
    <w:lvl w:ilvl="0" w:tplc="E4F647EE">
      <w:start w:val="1"/>
      <w:numFmt w:val="decimal"/>
      <w:lvlText w:val="%1，"/>
      <w:lvlJc w:val="left"/>
      <w:pPr>
        <w:ind w:left="720" w:hanging="720"/>
      </w:pPr>
      <w:rPr>
        <w:rFonts w:cs="Arial Unicode M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15"/>
  </w:num>
  <w:num w:numId="5">
    <w:abstractNumId w:val="8"/>
  </w:num>
  <w:num w:numId="6">
    <w:abstractNumId w:val="2"/>
  </w:num>
  <w:num w:numId="7">
    <w:abstractNumId w:val="5"/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0"/>
  </w:num>
  <w:num w:numId="12">
    <w:abstractNumId w:val="18"/>
  </w:num>
  <w:num w:numId="13">
    <w:abstractNumId w:val="7"/>
  </w:num>
  <w:num w:numId="14">
    <w:abstractNumId w:val="21"/>
  </w:num>
  <w:num w:numId="15">
    <w:abstractNumId w:val="13"/>
  </w:num>
  <w:num w:numId="16">
    <w:abstractNumId w:val="14"/>
  </w:num>
  <w:num w:numId="17">
    <w:abstractNumId w:val="11"/>
  </w:num>
  <w:num w:numId="18">
    <w:abstractNumId w:val="19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0"/>
  </w:num>
  <w:num w:numId="22">
    <w:abstractNumId w:val="9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1C10"/>
    <w:rsid w:val="0005090F"/>
    <w:rsid w:val="00083D6A"/>
    <w:rsid w:val="000B3693"/>
    <w:rsid w:val="000B41B6"/>
    <w:rsid w:val="00101C48"/>
    <w:rsid w:val="00130F3C"/>
    <w:rsid w:val="001516B8"/>
    <w:rsid w:val="0015535F"/>
    <w:rsid w:val="00161A96"/>
    <w:rsid w:val="001B33AC"/>
    <w:rsid w:val="001B72DE"/>
    <w:rsid w:val="001C10A8"/>
    <w:rsid w:val="001D2529"/>
    <w:rsid w:val="001E2C63"/>
    <w:rsid w:val="00210939"/>
    <w:rsid w:val="00217D1A"/>
    <w:rsid w:val="003317E5"/>
    <w:rsid w:val="003B107D"/>
    <w:rsid w:val="003B721F"/>
    <w:rsid w:val="003F79D6"/>
    <w:rsid w:val="0043629D"/>
    <w:rsid w:val="00497C7E"/>
    <w:rsid w:val="004B47B1"/>
    <w:rsid w:val="0051123B"/>
    <w:rsid w:val="00535D6F"/>
    <w:rsid w:val="00550FD9"/>
    <w:rsid w:val="00622C3A"/>
    <w:rsid w:val="00623A26"/>
    <w:rsid w:val="0063326E"/>
    <w:rsid w:val="00644502"/>
    <w:rsid w:val="006A1753"/>
    <w:rsid w:val="006F64B3"/>
    <w:rsid w:val="00701559"/>
    <w:rsid w:val="00761259"/>
    <w:rsid w:val="007A446E"/>
    <w:rsid w:val="007C213F"/>
    <w:rsid w:val="008168BD"/>
    <w:rsid w:val="00845B88"/>
    <w:rsid w:val="00862CF2"/>
    <w:rsid w:val="008710F9"/>
    <w:rsid w:val="00880699"/>
    <w:rsid w:val="0089673B"/>
    <w:rsid w:val="008A4E3E"/>
    <w:rsid w:val="008C111F"/>
    <w:rsid w:val="008F16A2"/>
    <w:rsid w:val="00921892"/>
    <w:rsid w:val="00930952"/>
    <w:rsid w:val="00941F1C"/>
    <w:rsid w:val="00951547"/>
    <w:rsid w:val="00986CDD"/>
    <w:rsid w:val="009F13CD"/>
    <w:rsid w:val="00A06B39"/>
    <w:rsid w:val="00A140B8"/>
    <w:rsid w:val="00AB47CE"/>
    <w:rsid w:val="00AB67BB"/>
    <w:rsid w:val="00B31C4E"/>
    <w:rsid w:val="00B708D6"/>
    <w:rsid w:val="00B84A84"/>
    <w:rsid w:val="00BA391A"/>
    <w:rsid w:val="00BB741D"/>
    <w:rsid w:val="00BE11BC"/>
    <w:rsid w:val="00BE3743"/>
    <w:rsid w:val="00C12E89"/>
    <w:rsid w:val="00C35BCB"/>
    <w:rsid w:val="00C51768"/>
    <w:rsid w:val="00C81677"/>
    <w:rsid w:val="00CA1629"/>
    <w:rsid w:val="00CB4AC9"/>
    <w:rsid w:val="00D50045"/>
    <w:rsid w:val="00D87038"/>
    <w:rsid w:val="00D91B1B"/>
    <w:rsid w:val="00D96584"/>
    <w:rsid w:val="00E1525A"/>
    <w:rsid w:val="00E733AB"/>
    <w:rsid w:val="00EC5BA5"/>
    <w:rsid w:val="00ED74AF"/>
    <w:rsid w:val="00EE1C10"/>
    <w:rsid w:val="00EE4F68"/>
    <w:rsid w:val="00EE7C01"/>
    <w:rsid w:val="00F16F75"/>
    <w:rsid w:val="00F628CA"/>
    <w:rsid w:val="00F66AD9"/>
    <w:rsid w:val="00FE093E"/>
    <w:rsid w:val="00FE4AFD"/>
    <w:rsid w:val="00FF0263"/>
    <w:rsid w:val="00FF5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C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0">
    <w:name w:val="heading 3"/>
    <w:basedOn w:val="a"/>
    <w:next w:val="a"/>
    <w:link w:val="3Char"/>
    <w:autoRedefine/>
    <w:uiPriority w:val="99"/>
    <w:qFormat/>
    <w:rsid w:val="00FE093E"/>
    <w:pPr>
      <w:widowControl/>
      <w:numPr>
        <w:numId w:val="18"/>
      </w:numPr>
      <w:tabs>
        <w:tab w:val="left" w:pos="540"/>
      </w:tabs>
      <w:overflowPunct w:val="0"/>
      <w:autoSpaceDE w:val="0"/>
      <w:autoSpaceDN w:val="0"/>
      <w:adjustRightInd w:val="0"/>
      <w:snapToGrid w:val="0"/>
      <w:spacing w:before="360" w:after="156" w:line="276" w:lineRule="auto"/>
      <w:textAlignment w:val="baseline"/>
      <w:outlineLvl w:val="2"/>
    </w:pPr>
    <w:rPr>
      <w:rFonts w:asciiTheme="minorEastAsia" w:eastAsiaTheme="minorEastAsia" w:hAnsiTheme="minorEastAsia"/>
      <w:b/>
      <w:bCs/>
      <w:kern w:val="0"/>
      <w:sz w:val="24"/>
      <w:szCs w:val="22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1C1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965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9658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965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96584"/>
    <w:rPr>
      <w:rFonts w:ascii="Times New Roman" w:eastAsia="宋体" w:hAnsi="Times New Roman" w:cs="Times New Roman"/>
      <w:sz w:val="18"/>
      <w:szCs w:val="18"/>
    </w:rPr>
  </w:style>
  <w:style w:type="paragraph" w:customStyle="1" w:styleId="FAQ305050505">
    <w:name w:val="样式 样式 深发展FAQ标题3 + 段前: 0.5 行 段后: 0.5 行 + 段前: 0.5 行 段后: 0.5 行"/>
    <w:basedOn w:val="a"/>
    <w:rsid w:val="00A140B8"/>
    <w:pPr>
      <w:widowControl/>
      <w:tabs>
        <w:tab w:val="left" w:pos="540"/>
      </w:tabs>
      <w:overflowPunct w:val="0"/>
      <w:autoSpaceDE w:val="0"/>
      <w:autoSpaceDN w:val="0"/>
      <w:adjustRightInd w:val="0"/>
      <w:snapToGrid w:val="0"/>
      <w:spacing w:beforeLines="50" w:afterLines="50" w:line="288" w:lineRule="auto"/>
      <w:jc w:val="left"/>
      <w:textAlignment w:val="baseline"/>
      <w:outlineLvl w:val="2"/>
    </w:pPr>
    <w:rPr>
      <w:rFonts w:ascii="黑体" w:eastAsia="黑体" w:hAnsi="Arial" w:cs="宋体"/>
      <w:color w:val="000000" w:themeColor="text1"/>
      <w:sz w:val="24"/>
      <w:szCs w:val="20"/>
      <w:lang w:bidi="he-IL"/>
    </w:rPr>
  </w:style>
  <w:style w:type="paragraph" w:customStyle="1" w:styleId="CM189ArialGB2312078">
    <w:name w:val="样式 样式 样式 CM189 + (西文) Arial (中文) 仿宋_GB2312 段前: 0 磅 段后: 7.8 磅 行距:..."/>
    <w:basedOn w:val="a"/>
    <w:link w:val="CM189ArialGB2312078Char"/>
    <w:uiPriority w:val="99"/>
    <w:rsid w:val="00A140B8"/>
    <w:pPr>
      <w:spacing w:beforeLines="50" w:afterLines="50" w:line="288" w:lineRule="auto"/>
      <w:ind w:firstLineChars="200" w:firstLine="200"/>
    </w:pPr>
    <w:rPr>
      <w:rFonts w:ascii="Arial" w:eastAsia="仿宋_GB2312" w:hAnsi="Arial" w:cs="宋体"/>
      <w:sz w:val="24"/>
      <w:szCs w:val="20"/>
    </w:rPr>
  </w:style>
  <w:style w:type="character" w:customStyle="1" w:styleId="3Char">
    <w:name w:val="标题 3 Char"/>
    <w:basedOn w:val="a0"/>
    <w:link w:val="30"/>
    <w:uiPriority w:val="99"/>
    <w:rsid w:val="00FE093E"/>
    <w:rPr>
      <w:rFonts w:asciiTheme="minorEastAsia" w:hAnsiTheme="minorEastAsia" w:cs="Times New Roman"/>
      <w:b/>
      <w:bCs/>
      <w:kern w:val="0"/>
      <w:sz w:val="24"/>
      <w:lang w:bidi="he-IL"/>
    </w:rPr>
  </w:style>
  <w:style w:type="paragraph" w:customStyle="1" w:styleId="3">
    <w:name w:val="标题3"/>
    <w:basedOn w:val="30"/>
    <w:autoRedefine/>
    <w:rsid w:val="0043629D"/>
    <w:pPr>
      <w:keepNext/>
      <w:keepLines/>
      <w:numPr>
        <w:numId w:val="4"/>
      </w:numPr>
      <w:tabs>
        <w:tab w:val="clear" w:pos="540"/>
      </w:tabs>
      <w:overflowPunct/>
      <w:autoSpaceDE/>
      <w:autoSpaceDN/>
      <w:adjustRightInd/>
      <w:ind w:rightChars="100" w:right="220"/>
      <w:textAlignment w:val="auto"/>
    </w:pPr>
    <w:rPr>
      <w:rFonts w:ascii="宋体" w:eastAsia="宋体" w:hAnsi="宋体" w:cs="宋体"/>
      <w:color w:val="333333"/>
      <w:sz w:val="21"/>
      <w:szCs w:val="21"/>
      <w:lang w:bidi="ar-SA"/>
    </w:rPr>
  </w:style>
  <w:style w:type="paragraph" w:styleId="a6">
    <w:name w:val="List Paragraph"/>
    <w:basedOn w:val="a"/>
    <w:uiPriority w:val="34"/>
    <w:qFormat/>
    <w:rsid w:val="00B31C4E"/>
    <w:pPr>
      <w:ind w:firstLineChars="200" w:firstLine="420"/>
    </w:pPr>
  </w:style>
  <w:style w:type="paragraph" w:customStyle="1" w:styleId="FAQ3">
    <w:name w:val="深发展FAQ标题3"/>
    <w:basedOn w:val="30"/>
    <w:link w:val="FAQ3Char"/>
    <w:qFormat/>
    <w:rsid w:val="00EE7C01"/>
    <w:pPr>
      <w:numPr>
        <w:numId w:val="6"/>
      </w:numPr>
      <w:spacing w:beforeLines="50" w:line="288" w:lineRule="auto"/>
      <w:ind w:left="0" w:firstLine="0"/>
    </w:pPr>
  </w:style>
  <w:style w:type="character" w:customStyle="1" w:styleId="FAQ3Char">
    <w:name w:val="深发展FAQ标题3 Char"/>
    <w:basedOn w:val="3Char"/>
    <w:link w:val="FAQ3"/>
    <w:rsid w:val="00EE7C01"/>
    <w:rPr>
      <w:b/>
      <w:bCs/>
    </w:rPr>
  </w:style>
  <w:style w:type="character" w:customStyle="1" w:styleId="CM189ArialGB2312078Char">
    <w:name w:val="样式 样式 样式 CM189 + (西文) Arial (中文) 仿宋_GB2312 段前: 0 磅 段后: 7.8 磅 行距:... Char"/>
    <w:basedOn w:val="a0"/>
    <w:link w:val="CM189ArialGB2312078"/>
    <w:uiPriority w:val="99"/>
    <w:rsid w:val="00EE7C01"/>
    <w:rPr>
      <w:rFonts w:ascii="Arial" w:eastAsia="仿宋_GB2312" w:hAnsi="Arial" w:cs="宋体"/>
      <w:sz w:val="24"/>
      <w:szCs w:val="20"/>
    </w:rPr>
  </w:style>
  <w:style w:type="paragraph" w:customStyle="1" w:styleId="31">
    <w:name w:val="样式3"/>
    <w:basedOn w:val="CM189ArialGB2312078"/>
    <w:link w:val="3Char0"/>
    <w:qFormat/>
    <w:rsid w:val="00EE7C01"/>
    <w:pPr>
      <w:snapToGrid w:val="0"/>
      <w:spacing w:before="156" w:afterLines="0"/>
      <w:ind w:firstLine="480"/>
    </w:pPr>
    <w:rPr>
      <w:rFonts w:eastAsia="方正准圆_GBK_平安专用" w:cs="Times New Roman"/>
      <w:szCs w:val="24"/>
    </w:rPr>
  </w:style>
  <w:style w:type="character" w:customStyle="1" w:styleId="3Char0">
    <w:name w:val="样式3 Char"/>
    <w:link w:val="31"/>
    <w:rsid w:val="00EE7C01"/>
    <w:rPr>
      <w:rFonts w:ascii="Arial" w:eastAsia="方正准圆_GBK_平安专用" w:hAnsi="Arial" w:cs="Times New Roman"/>
      <w:sz w:val="24"/>
      <w:szCs w:val="24"/>
    </w:rPr>
  </w:style>
  <w:style w:type="paragraph" w:customStyle="1" w:styleId="1">
    <w:name w:val="样式1"/>
    <w:basedOn w:val="a6"/>
    <w:qFormat/>
    <w:rsid w:val="00130F3C"/>
    <w:pPr>
      <w:numPr>
        <w:numId w:val="8"/>
      </w:numPr>
      <w:ind w:firstLineChars="0" w:firstLine="0"/>
    </w:pPr>
    <w:rPr>
      <w:rFonts w:ascii="黑体" w:eastAsia="黑体" w:hAnsi="黑体"/>
      <w:szCs w:val="22"/>
    </w:rPr>
  </w:style>
  <w:style w:type="paragraph" w:styleId="a7">
    <w:name w:val="Balloon Text"/>
    <w:basedOn w:val="a"/>
    <w:link w:val="Char1"/>
    <w:uiPriority w:val="99"/>
    <w:semiHidden/>
    <w:unhideWhenUsed/>
    <w:rsid w:val="00D91B1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91B1B"/>
    <w:rPr>
      <w:rFonts w:ascii="Times New Roman" w:eastAsia="宋体" w:hAnsi="Times New Roman" w:cs="Times New Roman"/>
      <w:sz w:val="18"/>
      <w:szCs w:val="18"/>
    </w:rPr>
  </w:style>
  <w:style w:type="paragraph" w:customStyle="1" w:styleId="32">
    <w:name w:val="题目 3"/>
    <w:next w:val="a"/>
    <w:rsid w:val="00B708D6"/>
    <w:pPr>
      <w:keepNext/>
      <w:pBdr>
        <w:top w:val="nil"/>
        <w:left w:val="nil"/>
        <w:bottom w:val="nil"/>
        <w:right w:val="nil"/>
        <w:between w:val="nil"/>
        <w:bar w:val="nil"/>
      </w:pBdr>
      <w:spacing w:line="288" w:lineRule="auto"/>
    </w:pPr>
    <w:rPr>
      <w:rFonts w:ascii="Arial Unicode MS" w:eastAsia="华文细黑" w:hAnsi="Arial Unicode MS" w:cs="Arial Unicode MS" w:hint="eastAsia"/>
      <w:b/>
      <w:bCs/>
      <w:color w:val="000000"/>
      <w:kern w:val="0"/>
      <w:sz w:val="24"/>
      <w:szCs w:val="24"/>
      <w:bdr w:val="nil"/>
      <w:lang w:val="zh-TW" w:eastAsia="zh-TW"/>
    </w:rPr>
  </w:style>
  <w:style w:type="numbering" w:customStyle="1" w:styleId="List1">
    <w:name w:val="List 1"/>
    <w:basedOn w:val="a2"/>
    <w:rsid w:val="00B708D6"/>
    <w:pPr>
      <w:numPr>
        <w:numId w:val="1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333</Words>
  <Characters>1903</Characters>
  <Application>Microsoft Office Word</Application>
  <DocSecurity>0</DocSecurity>
  <Lines>15</Lines>
  <Paragraphs>4</Paragraphs>
  <ScaleCrop>false</ScaleCrop>
  <Company>sdb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Lillian Gao</dc:creator>
  <cp:keywords/>
  <dc:description/>
  <cp:lastModifiedBy>高炼</cp:lastModifiedBy>
  <cp:revision>3</cp:revision>
  <dcterms:created xsi:type="dcterms:W3CDTF">2015-12-22T07:35:00Z</dcterms:created>
  <dcterms:modified xsi:type="dcterms:W3CDTF">2015-12-22T07:40:00Z</dcterms:modified>
</cp:coreProperties>
</file>