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auto"/>
        <w:rPr>
          <w:rFonts w:ascii="宋体" w:hAnsi="宋体" w:cs="宋体"/>
          <w:color w:val="000000"/>
          <w:sz w:val="24"/>
          <w:shd w:val="clear" w:color="050000" w:fill="auto"/>
        </w:rPr>
      </w:pPr>
    </w:p>
    <w:p>
      <w:pPr>
        <w:spacing w:line="400" w:lineRule="auto"/>
        <w:rPr>
          <w:rFonts w:ascii="宋体" w:hAnsi="宋体" w:cs="宋体"/>
          <w:color w:val="000000"/>
          <w:sz w:val="24"/>
          <w:shd w:val="clear" w:color="050000" w:fill="auto"/>
        </w:rPr>
      </w:pPr>
      <w:r>
        <w:rPr>
          <w:rFonts w:ascii="宋体" w:hAnsi="宋体" w:cs="宋体"/>
          <w:color w:val="000000"/>
          <w:sz w:val="24"/>
          <w:shd w:val="clear" w:color="050000" w:fill="auto"/>
        </w:rPr>
        <w:t>证券代码：300407                                    证券简称：凯发电气</w:t>
      </w:r>
    </w:p>
    <w:p>
      <w:pPr>
        <w:spacing w:line="400" w:lineRule="auto"/>
        <w:jc w:val="center"/>
        <w:rPr>
          <w:rFonts w:ascii="宋体" w:hAnsi="宋体" w:cs="宋体"/>
          <w:b/>
          <w:color w:val="000000"/>
          <w:sz w:val="32"/>
          <w:shd w:val="clear" w:color="060000" w:fill="auto"/>
        </w:rPr>
      </w:pPr>
      <w:r>
        <w:rPr>
          <w:rFonts w:ascii="宋体" w:hAnsi="宋体" w:cs="宋体"/>
          <w:b/>
          <w:color w:val="000000"/>
          <w:sz w:val="32"/>
          <w:shd w:val="clear" w:color="060000" w:fill="auto"/>
        </w:rPr>
        <w:t>天津凯发电气股份有限公司投资者关系活动记录表</w:t>
      </w:r>
    </w:p>
    <w:p>
      <w:pPr>
        <w:spacing w:line="400" w:lineRule="auto"/>
        <w:rPr>
          <w:rFonts w:ascii="宋体" w:hAnsi="宋体" w:cs="宋体"/>
          <w:color w:val="000000"/>
          <w:sz w:val="24"/>
          <w:shd w:val="clear" w:color="050000" w:fill="auto"/>
        </w:rPr>
      </w:pPr>
      <w:r>
        <w:rPr>
          <w:rFonts w:ascii="宋体" w:hAnsi="宋体" w:cs="宋体"/>
          <w:color w:val="000000"/>
          <w:sz w:val="24"/>
          <w:shd w:val="clear" w:color="050000" w:fill="auto"/>
        </w:rPr>
        <w:t xml:space="preserve">                                                       编号：201</w:t>
      </w:r>
      <w:r>
        <w:rPr>
          <w:rFonts w:hint="eastAsia" w:ascii="宋体" w:hAnsi="宋体" w:cs="宋体"/>
          <w:color w:val="000000"/>
          <w:sz w:val="24"/>
          <w:shd w:val="clear" w:color="050000" w:fill="auto"/>
        </w:rPr>
        <w:t>6</w:t>
      </w:r>
      <w:r>
        <w:rPr>
          <w:rFonts w:ascii="宋体" w:hAnsi="宋体" w:cs="宋体"/>
          <w:color w:val="000000"/>
          <w:sz w:val="24"/>
          <w:shd w:val="clear" w:color="050000" w:fill="auto"/>
        </w:rPr>
        <w:t>-00</w:t>
      </w:r>
      <w:r>
        <w:rPr>
          <w:rFonts w:hint="eastAsia" w:ascii="宋体" w:hAnsi="宋体" w:cs="宋体"/>
          <w:color w:val="000000"/>
          <w:sz w:val="24"/>
          <w:shd w:val="clear" w:color="050000" w:fill="auto"/>
        </w:rPr>
        <w:t>2</w:t>
      </w:r>
    </w:p>
    <w:tbl>
      <w:tblPr>
        <w:tblStyle w:val="5"/>
        <w:tblW w:w="8522" w:type="dxa"/>
        <w:jc w:val="center"/>
        <w:tblInd w:w="0" w:type="dxa"/>
        <w:tblLayout w:type="fixed"/>
        <w:tblCellMar>
          <w:top w:w="0" w:type="dxa"/>
          <w:left w:w="108" w:type="dxa"/>
          <w:bottom w:w="0" w:type="dxa"/>
          <w:right w:w="108" w:type="dxa"/>
        </w:tblCellMar>
      </w:tblPr>
      <w:tblGrid>
        <w:gridCol w:w="2269"/>
        <w:gridCol w:w="6253"/>
      </w:tblGrid>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30000" w:fill="auto"/>
              </w:rPr>
            </w:pPr>
            <w:r>
              <w:rPr>
                <w:rFonts w:ascii="宋体" w:hAnsi="宋体" w:cs="宋体"/>
                <w:color w:val="000000"/>
                <w:sz w:val="24"/>
                <w:shd w:val="clear" w:color="050000" w:fill="auto"/>
              </w:rPr>
              <w:t>投资者关系活动类别</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特定对象调研        </w:t>
            </w:r>
            <w:r>
              <w:rPr>
                <w:rFonts w:ascii="宋体" w:hAnsi="宋体" w:cs="宋体"/>
                <w:color w:val="000000"/>
                <w:sz w:val="24"/>
                <w:shd w:val="clear" w:color="050000" w:fill="auto"/>
              </w:rPr>
              <w:t>□</w:t>
            </w:r>
            <w:r>
              <w:rPr>
                <w:rFonts w:ascii="宋体" w:hAnsi="宋体" w:cs="宋体"/>
                <w:sz w:val="24"/>
                <w:shd w:val="clear" w:color="050000" w:fill="auto"/>
              </w:rPr>
              <w:t>分析师会议</w:t>
            </w:r>
          </w:p>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媒体采访            </w:t>
            </w:r>
            <w:r>
              <w:rPr>
                <w:rFonts w:ascii="宋体" w:hAnsi="宋体" w:cs="宋体"/>
                <w:color w:val="000000"/>
                <w:sz w:val="24"/>
                <w:shd w:val="clear" w:color="050000" w:fill="auto"/>
              </w:rPr>
              <w:t>□</w:t>
            </w:r>
            <w:r>
              <w:rPr>
                <w:rFonts w:ascii="宋体" w:hAnsi="宋体" w:cs="宋体"/>
                <w:sz w:val="24"/>
                <w:shd w:val="clear" w:color="050000" w:fill="auto"/>
              </w:rPr>
              <w:t>业绩说明会</w:t>
            </w:r>
          </w:p>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新闻发布会          </w:t>
            </w:r>
            <w:r>
              <w:rPr>
                <w:rFonts w:ascii="宋体" w:hAnsi="宋体" w:cs="宋体"/>
                <w:color w:val="000000"/>
                <w:sz w:val="24"/>
                <w:shd w:val="clear" w:color="050000" w:fill="auto"/>
              </w:rPr>
              <w:t>□</w:t>
            </w:r>
            <w:r>
              <w:rPr>
                <w:rFonts w:ascii="宋体" w:hAnsi="宋体" w:cs="宋体"/>
                <w:sz w:val="24"/>
                <w:shd w:val="clear" w:color="050000" w:fill="auto"/>
              </w:rPr>
              <w:t>路演活动</w:t>
            </w:r>
          </w:p>
          <w:p>
            <w:pPr>
              <w:tabs>
                <w:tab w:val="center" w:pos="3199"/>
                <w:tab w:val="left" w:pos="3285"/>
              </w:tabs>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现场参观</w:t>
            </w:r>
            <w:r>
              <w:rPr>
                <w:rFonts w:ascii="宋体" w:hAnsi="宋体" w:cs="宋体"/>
                <w:color w:val="000000"/>
                <w:sz w:val="24"/>
                <w:shd w:val="clear" w:color="050000" w:fill="auto"/>
              </w:rPr>
              <w:tab/>
            </w:r>
            <w:r>
              <w:rPr>
                <w:rFonts w:ascii="宋体" w:hAnsi="宋体" w:cs="宋体"/>
                <w:color w:val="000000"/>
                <w:sz w:val="24"/>
                <w:shd w:val="clear" w:color="050000" w:fill="auto"/>
              </w:rPr>
              <w:t xml:space="preserve">           □</w:t>
            </w:r>
            <w:r>
              <w:rPr>
                <w:rFonts w:ascii="宋体" w:hAnsi="宋体" w:cs="宋体"/>
                <w:sz w:val="24"/>
                <w:shd w:val="clear" w:color="050000" w:fill="auto"/>
              </w:rPr>
              <w:t>一对一沟通</w:t>
            </w:r>
          </w:p>
          <w:p>
            <w:pPr>
              <w:tabs>
                <w:tab w:val="center" w:pos="3199"/>
              </w:tabs>
              <w:spacing w:line="360" w:lineRule="auto"/>
              <w:ind w:firstLine="482"/>
              <w:rPr>
                <w:rFonts w:ascii="宋体" w:hAnsi="宋体" w:cs="宋体"/>
                <w:shd w:val="clear" w:color="030000" w:fill="auto"/>
              </w:rPr>
            </w:pPr>
            <w:r>
              <w:rPr>
                <w:rFonts w:ascii="宋体" w:hAnsi="宋体" w:cs="宋体"/>
                <w:color w:val="000000"/>
                <w:sz w:val="24"/>
                <w:shd w:val="clear" w:color="050000" w:fill="auto"/>
              </w:rPr>
              <w:t>□</w:t>
            </w:r>
            <w:r>
              <w:rPr>
                <w:rFonts w:ascii="宋体" w:hAnsi="宋体" w:cs="宋体"/>
                <w:sz w:val="24"/>
                <w:shd w:val="clear" w:color="050000" w:fill="auto"/>
              </w:rPr>
              <w:t>其他 （</w:t>
            </w:r>
            <w:r>
              <w:rPr>
                <w:rFonts w:ascii="宋体" w:hAnsi="宋体" w:cs="宋体"/>
                <w:sz w:val="24"/>
                <w:u w:val="single"/>
                <w:shd w:val="clear" w:color="060000" w:fill="auto"/>
              </w:rPr>
              <w:t>请文字说明其他活动内容）</w:t>
            </w:r>
          </w:p>
        </w:tc>
      </w:tr>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hAnsi="宋体" w:cs="宋体"/>
                <w:shd w:val="clear" w:color="030000" w:fill="auto"/>
              </w:rPr>
            </w:pPr>
            <w:r>
              <w:rPr>
                <w:rFonts w:ascii="宋体" w:hAnsi="宋体" w:cs="宋体"/>
                <w:color w:val="000000"/>
                <w:sz w:val="24"/>
                <w:shd w:val="clear" w:color="050000" w:fill="auto"/>
              </w:rPr>
              <w:t>参与单位名称及人员姓名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ind w:firstLine="480" w:firstLineChars="200"/>
              <w:rPr>
                <w:rFonts w:ascii="宋体" w:hAnsi="宋体" w:cs="宋体"/>
                <w:shd w:val="clear" w:color="040000" w:fill="auto"/>
              </w:rPr>
            </w:pPr>
            <w:r>
              <w:rPr>
                <w:rFonts w:hint="eastAsia" w:ascii="宋体" w:hAnsi="宋体" w:cs="宋体"/>
                <w:sz w:val="24"/>
                <w:shd w:val="clear" w:color="050000" w:fill="auto"/>
              </w:rPr>
              <w:t>易方达基金     祁禾</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时间</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hd w:val="clear" w:color="040000" w:fill="auto"/>
              </w:rPr>
            </w:pPr>
            <w:r>
              <w:rPr>
                <w:rFonts w:ascii="宋体" w:hAnsi="宋体" w:cs="宋体"/>
                <w:sz w:val="24"/>
                <w:shd w:val="clear" w:color="050000" w:fill="auto"/>
              </w:rPr>
              <w:t>201</w:t>
            </w:r>
            <w:r>
              <w:rPr>
                <w:rFonts w:hint="eastAsia" w:ascii="宋体" w:hAnsi="宋体" w:cs="宋体"/>
                <w:sz w:val="24"/>
                <w:shd w:val="clear" w:color="050000" w:fill="auto"/>
              </w:rPr>
              <w:t>6</w:t>
            </w:r>
            <w:r>
              <w:rPr>
                <w:rFonts w:ascii="宋体" w:hAnsi="宋体" w:cs="宋体"/>
                <w:sz w:val="24"/>
                <w:shd w:val="clear" w:color="050000" w:fill="auto"/>
              </w:rPr>
              <w:t>年</w:t>
            </w:r>
            <w:r>
              <w:rPr>
                <w:rFonts w:hint="eastAsia" w:ascii="宋体" w:hAnsi="宋体" w:cs="宋体"/>
                <w:sz w:val="24"/>
                <w:shd w:val="clear" w:color="050000" w:fill="auto"/>
              </w:rPr>
              <w:t>5</w:t>
            </w:r>
            <w:r>
              <w:rPr>
                <w:rFonts w:ascii="宋体" w:hAnsi="宋体" w:cs="宋体"/>
                <w:sz w:val="24"/>
                <w:shd w:val="clear" w:color="050000" w:fill="auto"/>
              </w:rPr>
              <w:t>月</w:t>
            </w:r>
            <w:r>
              <w:rPr>
                <w:rFonts w:hint="eastAsia" w:ascii="宋体" w:hAnsi="宋体" w:cs="宋体"/>
                <w:sz w:val="24"/>
                <w:shd w:val="clear" w:color="050000" w:fill="auto"/>
              </w:rPr>
              <w:t>19</w:t>
            </w:r>
            <w:r>
              <w:rPr>
                <w:rFonts w:ascii="宋体" w:hAnsi="宋体" w:cs="宋体"/>
                <w:sz w:val="24"/>
                <w:shd w:val="clear" w:color="050000" w:fill="auto"/>
              </w:rPr>
              <w:t>日下午</w:t>
            </w:r>
            <w:r>
              <w:rPr>
                <w:rFonts w:hint="eastAsia" w:ascii="宋体" w:hAnsi="宋体" w:cs="宋体"/>
                <w:sz w:val="24"/>
                <w:shd w:val="clear" w:color="050000" w:fill="auto"/>
              </w:rPr>
              <w:t>14</w:t>
            </w:r>
            <w:r>
              <w:rPr>
                <w:rFonts w:ascii="宋体" w:hAnsi="宋体" w:cs="宋体"/>
                <w:sz w:val="24"/>
                <w:shd w:val="clear" w:color="050000" w:fill="auto"/>
              </w:rPr>
              <w:t>：</w:t>
            </w:r>
            <w:r>
              <w:rPr>
                <w:rFonts w:hint="eastAsia" w:ascii="宋体" w:hAnsi="宋体" w:cs="宋体"/>
                <w:sz w:val="24"/>
                <w:shd w:val="clear" w:color="050000" w:fill="auto"/>
              </w:rPr>
              <w:t>00</w:t>
            </w:r>
            <w:r>
              <w:rPr>
                <w:rFonts w:ascii="宋体" w:hAnsi="宋体" w:cs="宋体"/>
                <w:sz w:val="24"/>
                <w:shd w:val="clear" w:color="050000" w:fill="auto"/>
              </w:rPr>
              <w:t>-1</w:t>
            </w:r>
            <w:r>
              <w:rPr>
                <w:rFonts w:hint="eastAsia" w:ascii="宋体" w:hAnsi="宋体" w:cs="宋体"/>
                <w:sz w:val="24"/>
                <w:shd w:val="clear" w:color="050000" w:fill="auto"/>
              </w:rPr>
              <w:t>5</w:t>
            </w:r>
            <w:r>
              <w:rPr>
                <w:rFonts w:ascii="宋体" w:hAnsi="宋体" w:cs="宋体"/>
                <w:sz w:val="24"/>
                <w:shd w:val="clear" w:color="050000" w:fill="auto"/>
              </w:rPr>
              <w:t>：</w:t>
            </w:r>
            <w:r>
              <w:rPr>
                <w:rFonts w:hint="eastAsia" w:ascii="宋体" w:hAnsi="宋体" w:cs="宋体"/>
                <w:sz w:val="24"/>
                <w:shd w:val="clear" w:color="050000" w:fill="auto"/>
              </w:rPr>
              <w:t>4</w:t>
            </w:r>
            <w:r>
              <w:rPr>
                <w:rFonts w:ascii="宋体" w:hAnsi="宋体" w:cs="宋体"/>
                <w:sz w:val="24"/>
                <w:shd w:val="clear" w:color="050000" w:fill="auto"/>
              </w:rPr>
              <w:t>0</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地点</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hd w:val="clear" w:color="040000" w:fill="auto"/>
              </w:rPr>
            </w:pPr>
            <w:r>
              <w:rPr>
                <w:rFonts w:ascii="宋体" w:hAnsi="宋体" w:cs="宋体"/>
                <w:sz w:val="24"/>
                <w:shd w:val="clear" w:color="050000" w:fill="auto"/>
              </w:rPr>
              <w:t>凯发电气股份有限公司</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上市公司接待人员</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120" w:firstLineChars="50"/>
              <w:rPr>
                <w:rFonts w:ascii="宋体" w:hAnsi="宋体" w:cs="宋体"/>
                <w:sz w:val="24"/>
                <w:shd w:val="clear" w:color="050000" w:fill="auto"/>
              </w:rPr>
            </w:pPr>
            <w:r>
              <w:rPr>
                <w:rFonts w:hint="eastAsia" w:ascii="宋体" w:hAnsi="宋体" w:cs="宋体"/>
                <w:sz w:val="24"/>
                <w:shd w:val="clear" w:color="050000" w:fill="auto"/>
              </w:rPr>
              <w:t xml:space="preserve">王伟（总经理）             </w:t>
            </w:r>
            <w:r>
              <w:rPr>
                <w:rFonts w:ascii="宋体" w:hAnsi="宋体" w:cs="宋体"/>
                <w:sz w:val="24"/>
                <w:shd w:val="clear" w:color="050000" w:fill="auto"/>
              </w:rPr>
              <w:t xml:space="preserve">蔡登明（董事会秘书）   </w:t>
            </w:r>
          </w:p>
          <w:p>
            <w:pPr>
              <w:rPr>
                <w:rFonts w:ascii="宋体" w:hAnsi="宋体" w:cs="宋体"/>
                <w:sz w:val="24"/>
                <w:shd w:val="clear" w:color="050000" w:fill="auto"/>
              </w:rPr>
            </w:pPr>
            <w:r>
              <w:rPr>
                <w:rFonts w:ascii="宋体" w:hAnsi="宋体" w:cs="宋体"/>
                <w:sz w:val="24"/>
                <w:shd w:val="clear" w:color="050000" w:fill="auto"/>
              </w:rPr>
              <w:t xml:space="preserve"> 彭蒙歌（投资者</w:t>
            </w:r>
            <w:r>
              <w:rPr>
                <w:rFonts w:hint="eastAsia" w:ascii="宋体" w:hAnsi="宋体" w:cs="宋体"/>
                <w:sz w:val="24"/>
                <w:shd w:val="clear" w:color="050000" w:fill="auto"/>
              </w:rPr>
              <w:t>关系</w:t>
            </w:r>
            <w:r>
              <w:rPr>
                <w:rFonts w:ascii="宋体" w:hAnsi="宋体" w:cs="宋体"/>
                <w:sz w:val="24"/>
                <w:shd w:val="clear" w:color="050000" w:fill="auto"/>
              </w:rPr>
              <w:t>管理专员）</w:t>
            </w:r>
            <w:r>
              <w:rPr>
                <w:rFonts w:hint="eastAsia" w:ascii="宋体" w:hAnsi="宋体" w:cs="宋体"/>
                <w:sz w:val="24"/>
                <w:shd w:val="clear" w:color="050000" w:fill="auto"/>
              </w:rPr>
              <w:t xml:space="preserve">  </w:t>
            </w:r>
            <w:bookmarkStart w:id="2" w:name="_GoBack"/>
            <w:bookmarkEnd w:id="2"/>
            <w:r>
              <w:rPr>
                <w:rFonts w:hint="eastAsia" w:ascii="宋体" w:hAnsi="宋体" w:cs="宋体"/>
                <w:sz w:val="24"/>
                <w:shd w:val="clear" w:color="050000" w:fill="auto"/>
              </w:rPr>
              <w:t xml:space="preserve"> </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hAnsi="宋体" w:cs="宋体"/>
                <w:shd w:val="clear" w:color="030000" w:fill="auto"/>
              </w:rPr>
            </w:pPr>
            <w:r>
              <w:rPr>
                <w:rFonts w:ascii="宋体" w:hAnsi="宋体" w:cs="宋体"/>
                <w:color w:val="000000"/>
                <w:sz w:val="24"/>
                <w:shd w:val="clear" w:color="050000" w:fill="auto"/>
              </w:rPr>
              <w:t>投资者关系活动主要内容介绍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ind w:firstLine="480"/>
              <w:rPr>
                <w:rFonts w:hint="eastAsia" w:ascii="宋体" w:hAnsi="宋体" w:cs="宋体"/>
                <w:sz w:val="24"/>
                <w:shd w:val="clear" w:color="050000" w:fill="auto"/>
              </w:rPr>
            </w:pPr>
            <w:r>
              <w:rPr>
                <w:rFonts w:ascii="宋体" w:hAnsi="宋体" w:cs="宋体"/>
                <w:sz w:val="24"/>
                <w:shd w:val="clear" w:color="050000" w:fill="auto"/>
              </w:rPr>
              <w:t>本次会议，</w:t>
            </w:r>
            <w:r>
              <w:rPr>
                <w:rFonts w:hint="eastAsia" w:ascii="宋体" w:hAnsi="宋体" w:cs="宋体"/>
                <w:sz w:val="24"/>
                <w:shd w:val="clear" w:color="050000" w:fill="auto"/>
              </w:rPr>
              <w:t>易方达基金祁禾研究员</w:t>
            </w:r>
            <w:r>
              <w:rPr>
                <w:rFonts w:ascii="宋体" w:hAnsi="宋体" w:cs="宋体"/>
                <w:sz w:val="24"/>
                <w:shd w:val="clear" w:color="050000" w:fill="auto"/>
              </w:rPr>
              <w:t>与公司</w:t>
            </w:r>
            <w:r>
              <w:rPr>
                <w:rFonts w:hint="eastAsia" w:ascii="宋体" w:hAnsi="宋体" w:cs="宋体"/>
                <w:sz w:val="24"/>
                <w:shd w:val="clear" w:color="050000" w:fill="auto"/>
              </w:rPr>
              <w:t>总经理王伟、</w:t>
            </w:r>
            <w:r>
              <w:rPr>
                <w:rFonts w:ascii="宋体" w:hAnsi="宋体" w:cs="宋体"/>
                <w:sz w:val="24"/>
                <w:shd w:val="clear" w:color="050000" w:fill="auto"/>
              </w:rPr>
              <w:t>董事会秘书蔡登明就</w:t>
            </w:r>
            <w:r>
              <w:rPr>
                <w:rFonts w:hint="eastAsia" w:ascii="宋体" w:hAnsi="宋体" w:cs="宋体"/>
                <w:sz w:val="24"/>
                <w:shd w:val="clear" w:color="050000" w:fill="auto"/>
              </w:rPr>
              <w:t>公司2015年度公司运营情况、重大资产重组、行业展望</w:t>
            </w:r>
            <w:r>
              <w:rPr>
                <w:rFonts w:ascii="宋体" w:hAnsi="宋体" w:cs="宋体"/>
                <w:sz w:val="24"/>
                <w:shd w:val="clear" w:color="050000" w:fill="auto"/>
              </w:rPr>
              <w:t>等问题展开沟通，会议主要内容纪要如下</w:t>
            </w:r>
            <w:r>
              <w:rPr>
                <w:rFonts w:hint="eastAsia" w:ascii="宋体" w:hAnsi="宋体" w:cs="宋体"/>
                <w:sz w:val="24"/>
                <w:shd w:val="clear" w:color="050000" w:fill="auto"/>
              </w:rPr>
              <w:t>：</w:t>
            </w:r>
          </w:p>
          <w:p>
            <w:pPr>
              <w:spacing w:line="480" w:lineRule="auto"/>
              <w:ind w:firstLine="480"/>
              <w:rPr>
                <w:rFonts w:hint="eastAsia" w:ascii="宋体" w:hAnsi="宋体" w:cs="宋体"/>
                <w:b/>
                <w:bCs/>
                <w:sz w:val="24"/>
                <w:shd w:val="clear" w:color="050000" w:fill="auto"/>
                <w:lang w:eastAsia="zh-CN"/>
              </w:rPr>
            </w:pPr>
            <w:r>
              <w:rPr>
                <w:rFonts w:hint="eastAsia" w:ascii="宋体" w:hAnsi="宋体" w:cs="宋体"/>
                <w:b/>
                <w:bCs/>
                <w:sz w:val="24"/>
                <w:shd w:val="clear" w:color="050000" w:fill="auto"/>
                <w:lang w:eastAsia="zh-CN"/>
              </w:rPr>
              <w:t>问题一：海外并购详细介绍？</w:t>
            </w:r>
          </w:p>
          <w:p>
            <w:pPr>
              <w:spacing w:line="480" w:lineRule="auto"/>
              <w:ind w:firstLine="480"/>
              <w:rPr>
                <w:rFonts w:hint="eastAsia" w:ascii="宋体" w:hAnsi="宋体" w:cs="宋体"/>
                <w:sz w:val="24"/>
                <w:shd w:val="clear" w:color="050000" w:fill="auto"/>
                <w:lang w:eastAsia="zh-CN"/>
              </w:rPr>
            </w:pPr>
            <w:r>
              <w:rPr>
                <w:rFonts w:hint="eastAsia" w:ascii="宋体" w:hAnsi="宋体" w:cs="宋体"/>
                <w:sz w:val="24"/>
                <w:shd w:val="clear" w:color="050000" w:fill="auto"/>
                <w:lang w:eastAsia="zh-CN"/>
              </w:rPr>
              <w:t>2015年，公司以买壳方式在德国设立全资子公司Keyvia Germany GmbH（凯发德国），拟以其作为收购主体，以现金方式收购德国保富所持有的RPS100%的股权、天津保富49%的股权，以及BICC所持有的BB Signal100%的股权。本次交易完成后，公司将直接或通过收购主体间接持有上述三个标的公司100%的股权。股权转让协议于2015年12月22日正式签署。目前，该境外资产收购正在顺利推进中。</w:t>
            </w:r>
          </w:p>
          <w:p>
            <w:pPr>
              <w:spacing w:line="480" w:lineRule="auto"/>
              <w:ind w:firstLine="480"/>
              <w:rPr>
                <w:rFonts w:ascii="宋体" w:hAnsi="宋体" w:cs="宋体"/>
                <w:b/>
                <w:color w:val="000000"/>
                <w:sz w:val="24"/>
                <w:shd w:val="clear" w:color="050000" w:fill="auto"/>
              </w:rPr>
            </w:pPr>
            <w:r>
              <w:rPr>
                <w:rFonts w:hint="eastAsia" w:ascii="宋体" w:hAnsi="宋体" w:cs="宋体"/>
                <w:b/>
                <w:color w:val="000000"/>
                <w:sz w:val="24"/>
                <w:shd w:val="clear" w:color="050000" w:fill="auto"/>
              </w:rPr>
              <w:t>问题</w:t>
            </w:r>
            <w:r>
              <w:rPr>
                <w:rFonts w:hint="eastAsia" w:ascii="宋体" w:hAnsi="宋体" w:cs="宋体"/>
                <w:b/>
                <w:color w:val="000000"/>
                <w:sz w:val="24"/>
                <w:shd w:val="clear" w:color="050000" w:fill="auto"/>
                <w:lang w:eastAsia="zh-CN"/>
              </w:rPr>
              <w:t>二</w:t>
            </w:r>
            <w:r>
              <w:rPr>
                <w:rFonts w:hint="eastAsia" w:ascii="宋体" w:hAnsi="宋体" w:cs="宋体"/>
                <w:b/>
                <w:color w:val="000000"/>
                <w:sz w:val="24"/>
                <w:shd w:val="clear" w:color="050000" w:fill="auto"/>
              </w:rPr>
              <w:t>：</w:t>
            </w:r>
            <w:r>
              <w:rPr>
                <w:rFonts w:hint="eastAsia" w:ascii="宋体" w:hAnsi="宋体" w:cs="宋体"/>
                <w:b/>
                <w:color w:val="000000"/>
                <w:sz w:val="24"/>
                <w:shd w:val="clear" w:color="050000" w:fill="auto"/>
                <w:lang w:eastAsia="zh-CN"/>
              </w:rPr>
              <w:t>公司目前运营情况如何</w:t>
            </w:r>
            <w:r>
              <w:rPr>
                <w:rFonts w:hint="eastAsia" w:ascii="宋体" w:hAnsi="宋体" w:cs="宋体"/>
                <w:b/>
                <w:color w:val="000000"/>
                <w:sz w:val="24"/>
                <w:shd w:val="clear" w:color="050000" w:fill="auto"/>
              </w:rPr>
              <w:t>？</w:t>
            </w:r>
          </w:p>
          <w:p>
            <w:pPr>
              <w:spacing w:line="480" w:lineRule="auto"/>
              <w:ind w:firstLine="480"/>
              <w:rPr>
                <w:rFonts w:ascii="宋体" w:hAnsi="宋体" w:eastAsia="宋体" w:cs="宋体"/>
                <w:sz w:val="24"/>
                <w:szCs w:val="24"/>
              </w:rPr>
            </w:pPr>
            <w:r>
              <w:rPr>
                <w:rFonts w:hint="eastAsia" w:ascii="宋体" w:hAnsi="宋体" w:eastAsia="宋体" w:cs="宋体"/>
                <w:sz w:val="24"/>
                <w:szCs w:val="24"/>
                <w:lang w:eastAsia="zh-CN"/>
              </w:rPr>
              <w:t>截止</w:t>
            </w:r>
            <w:r>
              <w:rPr>
                <w:rFonts w:hint="eastAsia" w:ascii="宋体" w:hAnsi="宋体" w:eastAsia="宋体" w:cs="宋体"/>
                <w:sz w:val="24"/>
                <w:szCs w:val="24"/>
                <w:lang w:val="en-US" w:eastAsia="zh-CN"/>
              </w:rPr>
              <w:t>2016年一季度，</w:t>
            </w:r>
            <w:r>
              <w:rPr>
                <w:rFonts w:ascii="宋体" w:hAnsi="宋体" w:eastAsia="宋体" w:cs="宋体"/>
                <w:sz w:val="24"/>
                <w:szCs w:val="24"/>
              </w:rPr>
              <w:t>公司实现</w:t>
            </w:r>
            <w:r>
              <w:rPr>
                <w:rFonts w:hint="eastAsia" w:ascii="宋体" w:hAnsi="宋体" w:eastAsia="宋体" w:cs="宋体"/>
                <w:sz w:val="24"/>
                <w:szCs w:val="24"/>
                <w:lang w:eastAsia="zh-CN"/>
              </w:rPr>
              <w:t>营业收入</w:t>
            </w:r>
            <w:r>
              <w:rPr>
                <w:rFonts w:ascii="宋体" w:hAnsi="宋体" w:eastAsia="宋体" w:cs="宋体"/>
                <w:sz w:val="24"/>
                <w:szCs w:val="24"/>
              </w:rPr>
              <w:t>5701.35万元，较上年同期增长26.74%，营业成本6105.03万元，较上年同期增加27.07%，归属于上市公司普通股股东的净利润为-456.60万元，造成上述亏损的原因主</w:t>
            </w:r>
            <w:r>
              <w:rPr>
                <w:rFonts w:hint="eastAsia" w:ascii="宋体" w:hAnsi="宋体" w:eastAsia="宋体" w:cs="宋体"/>
                <w:sz w:val="24"/>
                <w:szCs w:val="24"/>
                <w:lang w:eastAsia="zh-CN"/>
              </w:rPr>
              <w:t>是</w:t>
            </w:r>
            <w:r>
              <w:rPr>
                <w:rFonts w:ascii="宋体" w:hAnsi="宋体" w:eastAsia="宋体" w:cs="宋体"/>
                <w:sz w:val="24"/>
                <w:szCs w:val="24"/>
              </w:rPr>
              <w:t>受公司所在行业特点、气候和传统节日春节等因素 影响，每年第一季度收入占全年收入占比较低，而费用在全年均匀发生，造成一季度亏损。今年较上年同期亏损增加的主要原因为公司因重大资产重组支付中介费用而导致的管理费用增加。</w:t>
            </w:r>
          </w:p>
          <w:p>
            <w:pPr>
              <w:spacing w:line="480" w:lineRule="auto"/>
              <w:ind w:firstLine="480"/>
              <w:rPr>
                <w:rFonts w:ascii="宋体" w:hAnsi="宋体" w:eastAsia="宋体" w:cs="宋体"/>
                <w:sz w:val="24"/>
                <w:szCs w:val="24"/>
              </w:rPr>
            </w:pPr>
            <w:r>
              <w:rPr>
                <w:rFonts w:ascii="宋体" w:hAnsi="宋体" w:eastAsia="宋体" w:cs="宋体"/>
                <w:sz w:val="24"/>
                <w:szCs w:val="24"/>
              </w:rPr>
              <w:t>截止2015年12月31日，公司（及控股子公司）在执行合同共计约8.9亿元，较上年同期增长59%。根据目前掌握的各合同项目进展情况的初步统计，2016年公司销售收入仍将呈现稳步增长的势态。本次德国收购完成后，德国RPS、BBSignal以 及天津保富的业绩将并表，因此2016年度销售收入将大幅增长。</w:t>
            </w:r>
          </w:p>
          <w:p>
            <w:pPr>
              <w:spacing w:line="480" w:lineRule="auto"/>
              <w:ind w:firstLine="480"/>
              <w:rPr>
                <w:rFonts w:ascii="宋体" w:hAnsi="宋体"/>
                <w:b/>
                <w:kern w:val="0"/>
                <w:sz w:val="24"/>
                <w:szCs w:val="24"/>
              </w:rPr>
            </w:pPr>
            <w:r>
              <w:rPr>
                <w:rFonts w:hint="eastAsia" w:ascii="宋体" w:hAnsi="宋体"/>
                <w:b/>
                <w:kern w:val="0"/>
                <w:sz w:val="24"/>
                <w:szCs w:val="24"/>
              </w:rPr>
              <w:t>问题</w:t>
            </w:r>
            <w:r>
              <w:rPr>
                <w:rFonts w:hint="eastAsia" w:ascii="宋体" w:hAnsi="宋体"/>
                <w:b/>
                <w:kern w:val="0"/>
                <w:sz w:val="24"/>
                <w:szCs w:val="24"/>
                <w:lang w:eastAsia="zh-CN"/>
              </w:rPr>
              <w:t>三</w:t>
            </w:r>
            <w:r>
              <w:rPr>
                <w:rFonts w:hint="eastAsia" w:ascii="宋体" w:hAnsi="宋体"/>
                <w:b/>
                <w:kern w:val="0"/>
                <w:sz w:val="24"/>
                <w:szCs w:val="24"/>
              </w:rPr>
              <w:t>：公司重大资产重组目前进行到哪一步了？</w:t>
            </w:r>
          </w:p>
          <w:p>
            <w:pPr>
              <w:spacing w:line="480" w:lineRule="auto"/>
              <w:ind w:firstLine="480"/>
              <w:rPr>
                <w:rFonts w:hint="eastAsia" w:ascii="宋体" w:hAnsi="宋体" w:eastAsia="宋体" w:cs="宋体"/>
                <w:sz w:val="24"/>
                <w:szCs w:val="24"/>
              </w:rPr>
            </w:pPr>
            <w:r>
              <w:rPr>
                <w:rFonts w:hint="eastAsia" w:ascii="宋体" w:hAnsi="宋体" w:eastAsia="宋体" w:cs="宋体"/>
                <w:sz w:val="24"/>
                <w:szCs w:val="24"/>
              </w:rPr>
              <w:t xml:space="preserve">截止目前，公司收购 </w:t>
            </w:r>
            <w:r>
              <w:rPr>
                <w:rFonts w:hint="default" w:ascii="Times New Roman" w:hAnsi="Times New Roman" w:eastAsia="宋体" w:cs="Times New Roman"/>
                <w:sz w:val="24"/>
                <w:szCs w:val="24"/>
              </w:rPr>
              <w:t xml:space="preserve">Quickstart 16/15 Vermögensverwaltungs、RPS </w:t>
            </w:r>
            <w:r>
              <w:rPr>
                <w:rFonts w:hint="eastAsia" w:ascii="宋体" w:hAnsi="宋体" w:eastAsia="宋体" w:cs="宋体"/>
                <w:sz w:val="24"/>
                <w:szCs w:val="24"/>
              </w:rPr>
              <w:t xml:space="preserve">和 </w:t>
            </w:r>
            <w:r>
              <w:rPr>
                <w:rFonts w:hint="default" w:ascii="Times New Roman" w:hAnsi="Times New Roman" w:eastAsia="宋体" w:cs="Times New Roman"/>
                <w:sz w:val="24"/>
                <w:szCs w:val="24"/>
              </w:rPr>
              <w:t>BB Signal</w:t>
            </w:r>
            <w:r>
              <w:rPr>
                <w:rFonts w:hint="eastAsia" w:ascii="宋体" w:hAnsi="宋体" w:eastAsia="宋体" w:cs="宋体"/>
                <w:sz w:val="24"/>
                <w:szCs w:val="24"/>
              </w:rPr>
              <w:t xml:space="preserve"> 获得了天津市发展和改革委员会及天津市商务委员会备案批复；其中收购</w:t>
            </w:r>
            <w:r>
              <w:rPr>
                <w:rFonts w:hint="default" w:ascii="Times New Roman" w:hAnsi="Times New Roman" w:eastAsia="宋体" w:cs="Times New Roman"/>
                <w:sz w:val="24"/>
                <w:szCs w:val="24"/>
              </w:rPr>
              <w:t xml:space="preserve"> Quickstart 16/15 Vermögensverwaltungs </w:t>
            </w:r>
            <w:r>
              <w:rPr>
                <w:rFonts w:hint="eastAsia" w:ascii="宋体" w:hAnsi="宋体" w:eastAsia="宋体" w:cs="宋体"/>
                <w:sz w:val="24"/>
                <w:szCs w:val="24"/>
              </w:rPr>
              <w:t xml:space="preserve">并将其更名为 </w:t>
            </w:r>
            <w:r>
              <w:rPr>
                <w:rFonts w:hint="default" w:ascii="Times New Roman" w:hAnsi="Times New Roman" w:eastAsia="宋体" w:cs="Times New Roman"/>
                <w:sz w:val="24"/>
                <w:szCs w:val="24"/>
              </w:rPr>
              <w:t xml:space="preserve">Keyvia Germany GmbH </w:t>
            </w:r>
            <w:r>
              <w:rPr>
                <w:rFonts w:hint="eastAsia" w:ascii="宋体" w:hAnsi="宋体" w:eastAsia="宋体" w:cs="宋体"/>
                <w:sz w:val="24"/>
                <w:szCs w:val="24"/>
              </w:rPr>
              <w:t>（中文名称：凯发德国有限公司）不需要报送天津市发展和改革委员会备案，已获得 天津市商务委员会的备案批复。</w:t>
            </w:r>
          </w:p>
          <w:p>
            <w:pPr>
              <w:spacing w:line="480" w:lineRule="auto"/>
              <w:ind w:firstLine="480"/>
              <w:rPr>
                <w:b/>
                <w:sz w:val="24"/>
                <w:szCs w:val="24"/>
              </w:rPr>
            </w:pPr>
            <w:r>
              <w:rPr>
                <w:rFonts w:hint="eastAsia"/>
                <w:b/>
                <w:sz w:val="24"/>
                <w:szCs w:val="24"/>
              </w:rPr>
              <w:t>问题</w:t>
            </w:r>
            <w:r>
              <w:rPr>
                <w:rFonts w:hint="eastAsia"/>
                <w:b/>
                <w:sz w:val="24"/>
                <w:szCs w:val="24"/>
                <w:lang w:eastAsia="zh-CN"/>
              </w:rPr>
              <w:t>四</w:t>
            </w:r>
            <w:r>
              <w:rPr>
                <w:rFonts w:hint="eastAsia"/>
                <w:b/>
                <w:sz w:val="24"/>
                <w:szCs w:val="24"/>
              </w:rPr>
              <w:t>：收购标的中的</w:t>
            </w:r>
            <w:r>
              <w:rPr>
                <w:b/>
                <w:sz w:val="24"/>
                <w:szCs w:val="24"/>
              </w:rPr>
              <w:t>Rail Power Systems GmbH</w:t>
            </w:r>
            <w:r>
              <w:rPr>
                <w:rFonts w:hint="eastAsia"/>
                <w:b/>
                <w:sz w:val="24"/>
                <w:szCs w:val="24"/>
              </w:rPr>
              <w:t>（以下简称RPS）营业情况如何？</w:t>
            </w:r>
          </w:p>
          <w:p>
            <w:pPr>
              <w:spacing w:line="480" w:lineRule="auto"/>
              <w:ind w:firstLine="480" w:firstLineChars="200"/>
              <w:jc w:val="left"/>
              <w:rPr>
                <w:rFonts w:ascii="宋体" w:hAnsi="宋体" w:cs="宋体"/>
                <w:color w:val="000000"/>
                <w:sz w:val="24"/>
                <w:shd w:val="clear" w:color="050000" w:fill="auto"/>
              </w:rPr>
            </w:pPr>
            <w:r>
              <w:rPr>
                <w:rFonts w:hint="eastAsia" w:ascii="宋体" w:hAnsi="宋体" w:cs="宋体"/>
                <w:color w:val="000000"/>
                <w:sz w:val="24"/>
                <w:shd w:val="clear" w:color="050000" w:fill="auto"/>
              </w:rPr>
              <w:t>根据RPS目前未经审计的模拟财务数据，2014年度、2015年度，其营业收入分别为13,292万欧元和12,970万欧元，本次交易完成后，上市公司在营业收入规模方面将得到大幅提升。但是，受限于RPS主营业务毛利率偏低、人力资源成本居高不下等综合因素影响，最近两年，RPS尚处于亏损状态，2014年度、2015年度分别实现净利润-199万欧元和-155万欧元，短期内对上市公司的经营业绩将产生一定的负面影响。随着境内外业务协同效应的发挥以及国内外两个市场资源的互联互通，RPS的核心竞争优势将得到进一步发挥，有利于上市公司的长远、稳健发展。本次交易完成后，将对提高公司的盈利能力起到积极作用。</w:t>
            </w:r>
          </w:p>
          <w:p>
            <w:pPr>
              <w:spacing w:line="480" w:lineRule="auto"/>
              <w:ind w:firstLine="480"/>
              <w:rPr>
                <w:rFonts w:ascii="宋体" w:hAnsi="宋体" w:cs="宋体"/>
                <w:b/>
                <w:color w:val="000000"/>
                <w:sz w:val="24"/>
                <w:szCs w:val="24"/>
                <w:shd w:val="clear" w:color="050000" w:fill="auto"/>
              </w:rPr>
            </w:pPr>
            <w:r>
              <w:rPr>
                <w:rFonts w:hint="eastAsia" w:ascii="宋体" w:hAnsi="宋体" w:cs="宋体"/>
                <w:b/>
                <w:color w:val="000000"/>
                <w:sz w:val="24"/>
                <w:szCs w:val="24"/>
                <w:shd w:val="clear" w:color="050000" w:fill="auto"/>
              </w:rPr>
              <w:t>问题</w:t>
            </w:r>
            <w:r>
              <w:rPr>
                <w:rFonts w:hint="eastAsia" w:ascii="宋体" w:hAnsi="宋体" w:cs="宋体"/>
                <w:b/>
                <w:color w:val="000000"/>
                <w:sz w:val="24"/>
                <w:szCs w:val="24"/>
                <w:shd w:val="clear" w:color="050000" w:fill="auto"/>
                <w:lang w:eastAsia="zh-CN"/>
              </w:rPr>
              <w:t>五</w:t>
            </w:r>
            <w:r>
              <w:rPr>
                <w:rFonts w:hint="eastAsia" w:ascii="宋体" w:hAnsi="宋体" w:cs="宋体"/>
                <w:b/>
                <w:color w:val="000000"/>
                <w:sz w:val="24"/>
                <w:szCs w:val="24"/>
                <w:shd w:val="clear" w:color="050000" w:fill="auto"/>
              </w:rPr>
              <w:t>：本次对外投资设立子公司的目的是什么？</w:t>
            </w:r>
          </w:p>
          <w:p>
            <w:pPr>
              <w:adjustRightInd w:val="0"/>
              <w:spacing w:line="480" w:lineRule="auto"/>
              <w:ind w:firstLine="425" w:firstLineChars="177"/>
              <w:rPr>
                <w:rFonts w:hint="eastAsia"/>
                <w:sz w:val="24"/>
                <w:szCs w:val="24"/>
              </w:rPr>
            </w:pPr>
            <w:r>
              <w:rPr>
                <w:rFonts w:hint="eastAsia" w:hAnsi="宋体"/>
                <w:color w:val="000000"/>
                <w:sz w:val="24"/>
              </w:rPr>
              <w:t>收购与本公司行业技术相关的境外公司是凯发电气国际化战略的重要布局，是迅速做强做大凯发电气的重要途径。也是响应国家“走出去”战略的具体行动。通过境外并购，引进国外特别是发达国家的先进技术和管理理念，公司的</w:t>
            </w:r>
            <w:r>
              <w:rPr>
                <w:rFonts w:hint="eastAsia"/>
                <w:sz w:val="24"/>
              </w:rPr>
              <w:t>技术实力将得到进一步增强。公司在既有主营产品的基础上，业务范围将得到进一步延伸，实质性地突破了公司以国内轨道交通建设领域为主的局限性，</w:t>
            </w:r>
            <w:r>
              <w:rPr>
                <w:rFonts w:hint="eastAsia"/>
                <w:sz w:val="24"/>
                <w:szCs w:val="24"/>
              </w:rPr>
              <w:t>在全球范围内实现市场和资源的拓展。</w:t>
            </w:r>
          </w:p>
          <w:p>
            <w:pPr>
              <w:adjustRightInd w:val="0"/>
              <w:spacing w:line="480" w:lineRule="auto"/>
              <w:ind w:firstLine="426" w:firstLineChars="177"/>
              <w:rPr>
                <w:rFonts w:hint="eastAsia"/>
                <w:b/>
                <w:sz w:val="24"/>
                <w:szCs w:val="24"/>
              </w:rPr>
            </w:pPr>
            <w:r>
              <w:rPr>
                <w:rFonts w:hint="eastAsia"/>
                <w:b/>
                <w:sz w:val="24"/>
                <w:szCs w:val="24"/>
              </w:rPr>
              <w:t>问题</w:t>
            </w:r>
            <w:r>
              <w:rPr>
                <w:rFonts w:hint="eastAsia"/>
                <w:b/>
                <w:sz w:val="24"/>
                <w:szCs w:val="24"/>
                <w:lang w:eastAsia="zh-CN"/>
              </w:rPr>
              <w:t>六</w:t>
            </w:r>
            <w:r>
              <w:rPr>
                <w:rFonts w:hint="eastAsia"/>
                <w:b/>
                <w:sz w:val="24"/>
                <w:szCs w:val="24"/>
              </w:rPr>
              <w:t>：本次收购RPS的定价是什么？</w:t>
            </w:r>
          </w:p>
          <w:p>
            <w:pPr>
              <w:adjustRightInd w:val="0"/>
              <w:spacing w:line="480" w:lineRule="auto"/>
              <w:ind w:firstLine="372" w:firstLineChars="177"/>
              <w:rPr>
                <w:rFonts w:hint="eastAsia" w:ascii="宋体" w:hAnsi="宋体" w:eastAsia="宋体" w:cs="宋体"/>
                <w:sz w:val="24"/>
                <w:szCs w:val="24"/>
              </w:rPr>
            </w:pPr>
            <w:bookmarkStart w:id="0" w:name="OLE_LINK84"/>
            <w:bookmarkStart w:id="1" w:name="OLE_LINK83"/>
            <w:r>
              <w:rPr>
                <w:rFonts w:hint="eastAsia" w:ascii="宋体" w:hAnsi="宋体" w:eastAsia="宋体" w:cs="宋体"/>
                <w:sz w:val="24"/>
                <w:szCs w:val="24"/>
              </w:rPr>
              <w:t>本次交易价格由交易双方协商确定。</w:t>
            </w:r>
            <w:bookmarkEnd w:id="0"/>
            <w:bookmarkEnd w:id="1"/>
            <w:r>
              <w:rPr>
                <w:rFonts w:hint="eastAsia" w:ascii="宋体" w:hAnsi="宋体" w:eastAsia="宋体" w:cs="宋体"/>
                <w:sz w:val="24"/>
                <w:szCs w:val="24"/>
              </w:rPr>
              <w:t>经交易双方友好协商， 本次交易支付的基础交易对价为1,325.00万欧元。基础交易对价将在交割日依据《股权购买协议》约定的交易对价调整机制进行相应调整，确定初步购买价款，并由买方向卖方支付该初步购买价款。交割日后，初步购买价款将根据最终确认账目并依据《股权购买协议》约定的调整机制进行相应调整，并确定最终购买价款。最终购买价款和初步购买价款之间的差额依据《股权购买协议》约定的机制由买方向卖方或由卖方向买方进行支付。</w:t>
            </w:r>
          </w:p>
          <w:p>
            <w:pPr>
              <w:spacing w:line="480" w:lineRule="auto"/>
              <w:ind w:firstLine="482" w:firstLineChars="200"/>
              <w:rPr>
                <w:b/>
                <w:color w:val="000000"/>
                <w:sz w:val="24"/>
              </w:rPr>
            </w:pPr>
            <w:r>
              <w:rPr>
                <w:rFonts w:hint="eastAsia"/>
                <w:b/>
                <w:color w:val="000000"/>
                <w:sz w:val="24"/>
              </w:rPr>
              <w:t>问题</w:t>
            </w:r>
            <w:r>
              <w:rPr>
                <w:rFonts w:hint="eastAsia"/>
                <w:b/>
                <w:color w:val="000000"/>
                <w:sz w:val="24"/>
                <w:lang w:eastAsia="zh-CN"/>
              </w:rPr>
              <w:t>七</w:t>
            </w:r>
            <w:r>
              <w:rPr>
                <w:rFonts w:hint="eastAsia"/>
                <w:b/>
                <w:color w:val="000000"/>
                <w:sz w:val="24"/>
              </w:rPr>
              <w:t>：本次收购的主要合作银行是哪家银行？</w:t>
            </w:r>
            <w:r>
              <w:rPr>
                <w:rFonts w:hint="eastAsia"/>
                <w:b/>
                <w:color w:val="000000"/>
                <w:sz w:val="24"/>
                <w:lang w:eastAsia="zh-CN"/>
              </w:rPr>
              <w:t>公司目前融资方式？</w:t>
            </w:r>
          </w:p>
          <w:p>
            <w:pPr>
              <w:spacing w:line="480" w:lineRule="auto"/>
              <w:ind w:firstLine="470" w:firstLineChars="196"/>
              <w:rPr>
                <w:color w:val="000000"/>
                <w:sz w:val="24"/>
              </w:rPr>
            </w:pPr>
            <w:r>
              <w:rPr>
                <w:rFonts w:hint="eastAsia"/>
                <w:color w:val="000000"/>
                <w:sz w:val="24"/>
              </w:rPr>
              <w:t>主要合作银行是平安银行和招商银行，通过内保外贷的形式进行融资</w:t>
            </w:r>
            <w:r>
              <w:rPr>
                <w:rFonts w:hint="eastAsia"/>
                <w:color w:val="000000"/>
                <w:sz w:val="24"/>
                <w:lang w:eastAsia="zh-CN"/>
              </w:rPr>
              <w:t>。</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附件清单</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无</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日期</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hd w:val="clear" w:color="040000" w:fill="auto"/>
              </w:rPr>
            </w:pPr>
            <w:r>
              <w:rPr>
                <w:rFonts w:ascii="宋体" w:hAnsi="宋体" w:cs="宋体"/>
                <w:sz w:val="24"/>
                <w:shd w:val="clear" w:color="050000" w:fill="auto"/>
              </w:rPr>
              <w:t>201</w:t>
            </w:r>
            <w:r>
              <w:rPr>
                <w:rFonts w:hint="eastAsia" w:ascii="宋体" w:hAnsi="宋体" w:cs="宋体"/>
                <w:sz w:val="24"/>
                <w:shd w:val="clear" w:color="050000" w:fill="auto"/>
              </w:rPr>
              <w:t>6</w:t>
            </w:r>
            <w:r>
              <w:rPr>
                <w:rFonts w:ascii="宋体" w:hAnsi="宋体" w:cs="宋体"/>
                <w:sz w:val="24"/>
                <w:shd w:val="clear" w:color="050000" w:fill="auto"/>
              </w:rPr>
              <w:t>年</w:t>
            </w:r>
            <w:r>
              <w:rPr>
                <w:rFonts w:hint="eastAsia" w:ascii="宋体" w:hAnsi="宋体" w:cs="宋体"/>
                <w:sz w:val="24"/>
                <w:shd w:val="clear" w:color="050000" w:fill="auto"/>
              </w:rPr>
              <w:t xml:space="preserve"> 5 </w:t>
            </w:r>
            <w:r>
              <w:rPr>
                <w:rFonts w:ascii="宋体" w:hAnsi="宋体" w:cs="宋体"/>
                <w:sz w:val="24"/>
                <w:shd w:val="clear" w:color="050000" w:fill="auto"/>
              </w:rPr>
              <w:t>月</w:t>
            </w:r>
            <w:r>
              <w:rPr>
                <w:rFonts w:hint="eastAsia" w:ascii="宋体" w:hAnsi="宋体" w:cs="宋体"/>
                <w:sz w:val="24"/>
                <w:shd w:val="clear" w:color="050000" w:fill="auto"/>
              </w:rPr>
              <w:t xml:space="preserve"> 19 </w:t>
            </w:r>
            <w:r>
              <w:rPr>
                <w:rFonts w:ascii="宋体" w:hAnsi="宋体" w:cs="宋体"/>
                <w:sz w:val="24"/>
                <w:shd w:val="clear" w:color="050000" w:fill="auto"/>
              </w:rPr>
              <w:t>日</w:t>
            </w:r>
          </w:p>
        </w:tc>
      </w:tr>
    </w:tbl>
    <w:p>
      <w:pPr>
        <w:spacing w:line="400" w:lineRule="auto"/>
        <w:rPr>
          <w:rFonts w:eastAsia="Times New Roman"/>
          <w:shd w:val="clear" w:color="050000" w:fill="auto"/>
        </w:rPr>
      </w:pPr>
    </w:p>
    <w:p>
      <w:pPr>
        <w:rPr>
          <w:rFonts w:eastAsia="Times New Roman"/>
          <w:shd w:val="clear" w:color="050000" w:fill="auto"/>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00000001" w:csb1="00000000"/>
  </w:font>
  <w:font w:name="微软雅黑,宋体">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174"/>
    <w:rsid w:val="00085CF2"/>
    <w:rsid w:val="000A7A68"/>
    <w:rsid w:val="000F2580"/>
    <w:rsid w:val="00172A27"/>
    <w:rsid w:val="001C01AE"/>
    <w:rsid w:val="002A1852"/>
    <w:rsid w:val="0038480E"/>
    <w:rsid w:val="003A47AA"/>
    <w:rsid w:val="00447B77"/>
    <w:rsid w:val="004764F3"/>
    <w:rsid w:val="004D3586"/>
    <w:rsid w:val="004D616B"/>
    <w:rsid w:val="005D0A12"/>
    <w:rsid w:val="006A0CCE"/>
    <w:rsid w:val="00766ABA"/>
    <w:rsid w:val="00775A9A"/>
    <w:rsid w:val="008C2486"/>
    <w:rsid w:val="008C4B43"/>
    <w:rsid w:val="009A152E"/>
    <w:rsid w:val="00A70F80"/>
    <w:rsid w:val="00A82001"/>
    <w:rsid w:val="00AE4B57"/>
    <w:rsid w:val="00AE4BBB"/>
    <w:rsid w:val="00B4073B"/>
    <w:rsid w:val="00B6648F"/>
    <w:rsid w:val="00B66D5B"/>
    <w:rsid w:val="00B70154"/>
    <w:rsid w:val="00BD3ABA"/>
    <w:rsid w:val="00C936F5"/>
    <w:rsid w:val="00D03186"/>
    <w:rsid w:val="00DA75B2"/>
    <w:rsid w:val="00DD0B99"/>
    <w:rsid w:val="00DF0F96"/>
    <w:rsid w:val="00E776BB"/>
    <w:rsid w:val="00EE5934"/>
    <w:rsid w:val="00EE5999"/>
    <w:rsid w:val="00F83DC6"/>
    <w:rsid w:val="0439750D"/>
    <w:rsid w:val="04A94AA1"/>
    <w:rsid w:val="0ACF41E8"/>
    <w:rsid w:val="0AD52683"/>
    <w:rsid w:val="16922CAB"/>
    <w:rsid w:val="185C6B7F"/>
    <w:rsid w:val="1B0B777B"/>
    <w:rsid w:val="1F825F01"/>
    <w:rsid w:val="211D53AC"/>
    <w:rsid w:val="21ED51F3"/>
    <w:rsid w:val="23AE4C1A"/>
    <w:rsid w:val="25581C97"/>
    <w:rsid w:val="27F37B5D"/>
    <w:rsid w:val="30426764"/>
    <w:rsid w:val="3299158D"/>
    <w:rsid w:val="343612E1"/>
    <w:rsid w:val="35B5415D"/>
    <w:rsid w:val="37563889"/>
    <w:rsid w:val="3D256D60"/>
    <w:rsid w:val="3E745D86"/>
    <w:rsid w:val="3EE23F30"/>
    <w:rsid w:val="42410A18"/>
    <w:rsid w:val="43E213B8"/>
    <w:rsid w:val="49240A1D"/>
    <w:rsid w:val="4BEC5D0E"/>
    <w:rsid w:val="4DD20BA5"/>
    <w:rsid w:val="51040F39"/>
    <w:rsid w:val="54431D59"/>
    <w:rsid w:val="557353BA"/>
    <w:rsid w:val="57307B25"/>
    <w:rsid w:val="57957893"/>
    <w:rsid w:val="60A25B6F"/>
    <w:rsid w:val="62BC37CC"/>
    <w:rsid w:val="63285C73"/>
    <w:rsid w:val="63586F3A"/>
    <w:rsid w:val="63AD2E36"/>
    <w:rsid w:val="645E3500"/>
    <w:rsid w:val="64CD57C9"/>
    <w:rsid w:val="66A1252F"/>
    <w:rsid w:val="68753651"/>
    <w:rsid w:val="68BC33C5"/>
    <w:rsid w:val="691864EE"/>
    <w:rsid w:val="6BEF14C8"/>
    <w:rsid w:val="6DD31186"/>
    <w:rsid w:val="6E9E6491"/>
    <w:rsid w:val="6F495B22"/>
    <w:rsid w:val="741F2704"/>
    <w:rsid w:val="74282A00"/>
    <w:rsid w:val="76F33962"/>
    <w:rsid w:val="79B32F58"/>
    <w:rsid w:val="79E755D2"/>
    <w:rsid w:val="7BEF28EC"/>
    <w:rsid w:val="7C184B03"/>
    <w:rsid w:val="7CCD189B"/>
    <w:rsid w:val="7D757C28"/>
    <w:rsid w:val="7E156E8F"/>
    <w:rsid w:val="7F8548B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7">
    <w:name w:val="页眉 Char"/>
    <w:basedOn w:val="4"/>
    <w:link w:val="3"/>
    <w:semiHidden/>
    <w:qFormat/>
    <w:uiPriority w:val="99"/>
    <w:rPr>
      <w:kern w:val="2"/>
      <w:sz w:val="18"/>
      <w:szCs w:val="18"/>
    </w:rPr>
  </w:style>
  <w:style w:type="character" w:customStyle="1" w:styleId="8">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294</Words>
  <Characters>1677</Characters>
  <Lines>13</Lines>
  <Paragraphs>3</Paragraphs>
  <ScaleCrop>false</ScaleCrop>
  <LinksUpToDate>false</LinksUpToDate>
  <CharactersWithSpaces>1968</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2016-05-19T05:54:00Z</dcterms:created>
  <dc:creator>Administrator</dc:creator>
  <cp:lastModifiedBy>pengmg</cp:lastModifiedBy>
  <dcterms:modified xsi:type="dcterms:W3CDTF">2016-05-23T02:11:37Z</dcterms:modified>
  <dc:title>证券代码：300407                                    证券简称：凯发电气</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