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0" w:rsidRPr="006A623C" w:rsidRDefault="000F6263">
      <w:pPr>
        <w:rPr>
          <w:rFonts w:ascii="Calibri" w:hAnsi="Calibri"/>
          <w:b/>
          <w:sz w:val="28"/>
          <w:szCs w:val="28"/>
        </w:rPr>
      </w:pPr>
      <w:r w:rsidRPr="006A623C">
        <w:rPr>
          <w:rFonts w:ascii="Calibri" w:hAnsi="Calibri"/>
          <w:b/>
          <w:sz w:val="28"/>
          <w:szCs w:val="28"/>
        </w:rPr>
        <w:t xml:space="preserve"> </w:t>
      </w:r>
    </w:p>
    <w:p w:rsidR="00A266D0" w:rsidRPr="006A623C" w:rsidRDefault="000F6263">
      <w:pPr>
        <w:rPr>
          <w:rFonts w:ascii="Calibri" w:hAnsi="Calibri"/>
          <w:bCs/>
          <w:iCs/>
          <w:sz w:val="24"/>
        </w:rPr>
      </w:pPr>
      <w:r w:rsidRPr="006A623C">
        <w:rPr>
          <w:rFonts w:ascii="Calibri" w:hAnsi="Calibri"/>
          <w:bCs/>
          <w:iCs/>
          <w:sz w:val="24"/>
        </w:rPr>
        <w:t>证券代码：</w:t>
      </w:r>
      <w:r w:rsidRPr="006A623C">
        <w:rPr>
          <w:rFonts w:ascii="Calibri" w:hAnsi="Calibri"/>
          <w:bCs/>
          <w:iCs/>
          <w:sz w:val="24"/>
        </w:rPr>
        <w:t xml:space="preserve">300048                                   </w:t>
      </w:r>
      <w:r w:rsidRPr="006A623C">
        <w:rPr>
          <w:rFonts w:ascii="Calibri" w:hAnsi="Calibri"/>
          <w:bCs/>
          <w:iCs/>
          <w:sz w:val="24"/>
        </w:rPr>
        <w:t>证券简称：</w:t>
      </w:r>
      <w:proofErr w:type="gramStart"/>
      <w:r w:rsidRPr="006A623C">
        <w:rPr>
          <w:rFonts w:ascii="Calibri" w:hAnsi="Calibri"/>
          <w:bCs/>
          <w:iCs/>
          <w:sz w:val="24"/>
        </w:rPr>
        <w:t>合康变频</w:t>
      </w:r>
      <w:proofErr w:type="gramEnd"/>
    </w:p>
    <w:p w:rsidR="00A266D0" w:rsidRPr="006A623C" w:rsidRDefault="00A266D0" w:rsidP="00987088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A266D0" w:rsidRPr="006A623C" w:rsidRDefault="000F6263" w:rsidP="00987088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6A623C">
        <w:rPr>
          <w:rFonts w:ascii="Calibri" w:hAnsi="Calibri"/>
          <w:b/>
          <w:bCs/>
          <w:iCs/>
          <w:sz w:val="32"/>
          <w:szCs w:val="32"/>
        </w:rPr>
        <w:t>北京</w:t>
      </w:r>
      <w:proofErr w:type="gramStart"/>
      <w:r w:rsidRPr="006A623C">
        <w:rPr>
          <w:rFonts w:ascii="Calibri" w:hAnsi="Calibri"/>
          <w:b/>
          <w:bCs/>
          <w:iCs/>
          <w:sz w:val="32"/>
          <w:szCs w:val="32"/>
        </w:rPr>
        <w:t>合康亿盛</w:t>
      </w:r>
      <w:proofErr w:type="gramEnd"/>
      <w:r w:rsidRPr="006A623C">
        <w:rPr>
          <w:rFonts w:ascii="Calibri" w:hAnsi="Calibri"/>
          <w:b/>
          <w:bCs/>
          <w:iCs/>
          <w:sz w:val="32"/>
          <w:szCs w:val="32"/>
        </w:rPr>
        <w:t>变频科技股份有限公司</w:t>
      </w:r>
    </w:p>
    <w:p w:rsidR="00A266D0" w:rsidRPr="006A623C" w:rsidRDefault="000F6263" w:rsidP="00987088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6A623C">
        <w:rPr>
          <w:rFonts w:ascii="Calibri" w:hAnsi="Calibri"/>
          <w:b/>
          <w:bCs/>
          <w:iCs/>
          <w:sz w:val="32"/>
          <w:szCs w:val="32"/>
        </w:rPr>
        <w:t>投资者关系活动记录表</w:t>
      </w:r>
    </w:p>
    <w:p w:rsidR="00A266D0" w:rsidRPr="006A623C" w:rsidRDefault="000F6263">
      <w:pPr>
        <w:spacing w:line="400" w:lineRule="exact"/>
        <w:rPr>
          <w:rFonts w:ascii="Calibri" w:hAnsi="Calibri"/>
          <w:bCs/>
          <w:iCs/>
          <w:sz w:val="24"/>
        </w:rPr>
      </w:pPr>
      <w:r w:rsidRPr="006A623C">
        <w:rPr>
          <w:rFonts w:ascii="Calibri" w:hAnsi="Calibri"/>
          <w:bCs/>
          <w:iCs/>
          <w:sz w:val="24"/>
        </w:rPr>
        <w:t xml:space="preserve">                                                         </w:t>
      </w:r>
      <w:r w:rsidRPr="006A623C">
        <w:rPr>
          <w:rFonts w:ascii="Calibri" w:hAnsi="Calibri"/>
          <w:bCs/>
          <w:iCs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614"/>
      </w:tblGrid>
      <w:tr w:rsidR="00A266D0" w:rsidRPr="006A623C">
        <w:tc>
          <w:tcPr>
            <w:tcW w:w="1908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投资者关系活动类别</w:t>
            </w:r>
          </w:p>
          <w:p w:rsidR="00A266D0" w:rsidRPr="006A623C" w:rsidRDefault="00A266D0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</w:p>
        </w:tc>
        <w:tc>
          <w:tcPr>
            <w:tcW w:w="6614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■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特定对象调研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 xml:space="preserve">        </w:t>
            </w: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分析师会议</w:t>
            </w:r>
          </w:p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媒体采访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 xml:space="preserve">            </w:t>
            </w: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业绩说明会</w:t>
            </w:r>
          </w:p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新闻发布会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 xml:space="preserve">          </w:t>
            </w: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路演活动</w:t>
            </w:r>
          </w:p>
          <w:p w:rsidR="00A266D0" w:rsidRPr="006A623C" w:rsidRDefault="000F626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现场参观</w:t>
            </w: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ab/>
              <w:t>□</w:t>
            </w: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ab/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一对一沟通</w:t>
            </w:r>
          </w:p>
          <w:p w:rsidR="00A266D0" w:rsidRPr="006A623C" w:rsidRDefault="000F6263">
            <w:pPr>
              <w:tabs>
                <w:tab w:val="center" w:pos="3199"/>
              </w:tabs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其他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 xml:space="preserve"> </w:t>
            </w:r>
            <w:r w:rsidRPr="006A623C">
              <w:rPr>
                <w:rFonts w:ascii="Calibri" w:hAnsi="Calibri"/>
                <w:kern w:val="0"/>
                <w:sz w:val="28"/>
                <w:szCs w:val="28"/>
              </w:rPr>
              <w:t>（</w:t>
            </w:r>
            <w:proofErr w:type="gramStart"/>
            <w:r w:rsidRPr="006A623C">
              <w:rPr>
                <w:rFonts w:ascii="Calibri" w:hAnsi="Calibri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6A623C">
              <w:rPr>
                <w:rFonts w:ascii="Calibri" w:hAnsi="Calibri"/>
                <w:kern w:val="0"/>
                <w:sz w:val="28"/>
                <w:szCs w:val="28"/>
                <w:u w:val="single"/>
              </w:rPr>
              <w:t>说明其</w:t>
            </w:r>
            <w:r w:rsidRPr="006A623C">
              <w:rPr>
                <w:rFonts w:ascii="Calibri" w:hAnsi="Calibri" w:hint="eastAsia"/>
                <w:kern w:val="0"/>
                <w:sz w:val="28"/>
                <w:szCs w:val="28"/>
                <w:u w:val="single"/>
              </w:rPr>
              <w:t>：</w:t>
            </w:r>
            <w:r w:rsidRPr="006A623C">
              <w:rPr>
                <w:rFonts w:ascii="Calibri" w:hAnsi="Calibri"/>
                <w:kern w:val="0"/>
                <w:sz w:val="28"/>
                <w:szCs w:val="28"/>
                <w:u w:val="single"/>
              </w:rPr>
              <w:t>他活动内容）</w:t>
            </w:r>
          </w:p>
        </w:tc>
      </w:tr>
      <w:tr w:rsidR="00A266D0" w:rsidRPr="006A623C">
        <w:trPr>
          <w:trHeight w:val="1071"/>
        </w:trPr>
        <w:tc>
          <w:tcPr>
            <w:tcW w:w="1908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986613" w:rsidRPr="006A623C" w:rsidRDefault="001835C1" w:rsidP="00986613">
            <w:pPr>
              <w:spacing w:line="480" w:lineRule="atLeast"/>
              <w:ind w:firstLine="420"/>
              <w:jc w:val="center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星石投资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张希晨</w:t>
            </w:r>
          </w:p>
          <w:p w:rsidR="00986613" w:rsidRPr="006A623C" w:rsidRDefault="001835C1" w:rsidP="00986613">
            <w:pPr>
              <w:spacing w:line="480" w:lineRule="atLeast"/>
              <w:ind w:firstLine="420"/>
              <w:jc w:val="center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华商基金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孙祺</w:t>
            </w:r>
          </w:p>
        </w:tc>
      </w:tr>
      <w:tr w:rsidR="00A266D0" w:rsidRPr="006A623C">
        <w:tc>
          <w:tcPr>
            <w:tcW w:w="1908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A266D0" w:rsidRPr="006A623C" w:rsidRDefault="000F6263" w:rsidP="00367829">
            <w:pPr>
              <w:spacing w:line="480" w:lineRule="atLeast"/>
              <w:ind w:firstLineChars="650" w:firstLine="1560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2016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年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6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月</w:t>
            </w:r>
            <w:r w:rsidR="007042C5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28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日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1</w:t>
            </w:r>
            <w:r w:rsidR="007042C5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4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：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00-</w:t>
            </w:r>
            <w:r w:rsidR="00367829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16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：</w:t>
            </w:r>
            <w:r w:rsidR="00367829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0</w:t>
            </w:r>
            <w:r w:rsidR="001835C1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0</w:t>
            </w:r>
          </w:p>
        </w:tc>
      </w:tr>
      <w:tr w:rsidR="00A266D0" w:rsidRPr="006A623C">
        <w:tc>
          <w:tcPr>
            <w:tcW w:w="1908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会议地点及形式</w:t>
            </w:r>
          </w:p>
        </w:tc>
        <w:tc>
          <w:tcPr>
            <w:tcW w:w="6614" w:type="dxa"/>
          </w:tcPr>
          <w:p w:rsidR="00A266D0" w:rsidRPr="006A623C" w:rsidRDefault="000F6263" w:rsidP="001501C3">
            <w:pPr>
              <w:spacing w:line="480" w:lineRule="atLeast"/>
              <w:ind w:firstLineChars="800" w:firstLine="1680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实地调研，公司五楼会议室</w:t>
            </w:r>
          </w:p>
        </w:tc>
      </w:tr>
      <w:tr w:rsidR="00A266D0" w:rsidRPr="006A623C" w:rsidTr="00DC1B36">
        <w:tc>
          <w:tcPr>
            <w:tcW w:w="1908" w:type="dxa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986613" w:rsidRPr="006A623C" w:rsidRDefault="007167E8" w:rsidP="00986613">
            <w:pPr>
              <w:spacing w:line="480" w:lineRule="atLeast"/>
              <w:ind w:firstLineChars="1050" w:firstLine="2205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董事兼总经理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 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叶进吾</w:t>
            </w:r>
          </w:p>
          <w:p w:rsidR="00986613" w:rsidRPr="006A623C" w:rsidRDefault="000F6263" w:rsidP="00986613">
            <w:pPr>
              <w:spacing w:line="480" w:lineRule="atLeast"/>
              <w:ind w:firstLineChars="600" w:firstLine="1260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副总经理兼董事会秘书、财务总监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 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刘瑞霞</w:t>
            </w:r>
          </w:p>
        </w:tc>
      </w:tr>
      <w:tr w:rsidR="00A266D0" w:rsidRPr="006A623C">
        <w:tc>
          <w:tcPr>
            <w:tcW w:w="1908" w:type="dxa"/>
            <w:vAlign w:val="center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986613" w:rsidRPr="006A623C" w:rsidRDefault="00C30589" w:rsidP="00987088">
            <w:pPr>
              <w:pStyle w:val="1"/>
              <w:spacing w:beforeLines="50" w:line="360" w:lineRule="auto"/>
              <w:ind w:firstLine="422"/>
              <w:rPr>
                <w:szCs w:val="21"/>
              </w:rPr>
            </w:pPr>
            <w:r w:rsidRPr="006A623C">
              <w:rPr>
                <w:rFonts w:hint="eastAsia"/>
                <w:b/>
                <w:szCs w:val="21"/>
              </w:rPr>
              <w:t>一</w:t>
            </w:r>
            <w:r w:rsidR="000F6263" w:rsidRPr="006A623C">
              <w:rPr>
                <w:rFonts w:hint="eastAsia"/>
                <w:b/>
                <w:szCs w:val="21"/>
              </w:rPr>
              <w:t>、</w:t>
            </w:r>
            <w:r w:rsidR="000F6263" w:rsidRPr="006A623C">
              <w:rPr>
                <w:b/>
                <w:szCs w:val="21"/>
              </w:rPr>
              <w:t xml:space="preserve"> </w:t>
            </w:r>
            <w:r w:rsidR="000F6263" w:rsidRPr="006A623C">
              <w:rPr>
                <w:rFonts w:hint="eastAsia"/>
                <w:b/>
                <w:szCs w:val="21"/>
              </w:rPr>
              <w:t>互动环节：</w:t>
            </w:r>
          </w:p>
          <w:p w:rsidR="0060468F" w:rsidRPr="006A623C" w:rsidRDefault="00A173AC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 w:rsidRPr="006A623C">
              <w:rPr>
                <w:rFonts w:hint="eastAsia"/>
                <w:szCs w:val="21"/>
              </w:rPr>
              <w:t>、</w:t>
            </w:r>
            <w:r w:rsidR="00B34814" w:rsidRPr="006A623C">
              <w:rPr>
                <w:rFonts w:hint="eastAsia"/>
                <w:szCs w:val="21"/>
              </w:rPr>
              <w:t>半年报预计收入多少？</w:t>
            </w:r>
          </w:p>
          <w:p w:rsidR="00986613" w:rsidRPr="006A623C" w:rsidRDefault="00B34814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答：目前</w:t>
            </w:r>
            <w:r w:rsidR="00B138A6" w:rsidRPr="006A623C">
              <w:rPr>
                <w:rFonts w:hint="eastAsia"/>
                <w:szCs w:val="21"/>
              </w:rPr>
              <w:t>各个子公司尚未结账，</w:t>
            </w:r>
            <w:r w:rsidRPr="006A623C">
              <w:rPr>
                <w:rFonts w:hint="eastAsia"/>
                <w:szCs w:val="21"/>
              </w:rPr>
              <w:t>数据尚未统计出来。</w:t>
            </w:r>
            <w:r w:rsidR="005B4679" w:rsidRPr="006A623C">
              <w:rPr>
                <w:rFonts w:hint="eastAsia"/>
                <w:szCs w:val="21"/>
              </w:rPr>
              <w:t>公司会在</w:t>
            </w:r>
            <w:r w:rsidR="005B4679" w:rsidRPr="006A623C">
              <w:rPr>
                <w:rFonts w:hint="eastAsia"/>
                <w:szCs w:val="21"/>
              </w:rPr>
              <w:t>2016</w:t>
            </w:r>
            <w:r w:rsidR="005B4679" w:rsidRPr="006A623C">
              <w:rPr>
                <w:rFonts w:hint="eastAsia"/>
                <w:szCs w:val="21"/>
              </w:rPr>
              <w:t>年</w:t>
            </w:r>
            <w:r w:rsidR="00C74E1B" w:rsidRPr="006A623C">
              <w:rPr>
                <w:rFonts w:hint="eastAsia"/>
                <w:szCs w:val="21"/>
              </w:rPr>
              <w:t>7</w:t>
            </w:r>
            <w:r w:rsidR="00C74E1B" w:rsidRPr="006A623C">
              <w:rPr>
                <w:rFonts w:hint="eastAsia"/>
                <w:szCs w:val="21"/>
              </w:rPr>
              <w:t>月</w:t>
            </w:r>
            <w:r w:rsidR="00C74E1B" w:rsidRPr="006A623C">
              <w:rPr>
                <w:rFonts w:hint="eastAsia"/>
                <w:szCs w:val="21"/>
              </w:rPr>
              <w:t>15</w:t>
            </w:r>
            <w:r w:rsidR="00C74E1B" w:rsidRPr="006A623C">
              <w:rPr>
                <w:rFonts w:hint="eastAsia"/>
                <w:szCs w:val="21"/>
              </w:rPr>
              <w:t>日之前披露</w:t>
            </w:r>
            <w:r w:rsidR="00C14283" w:rsidRPr="006A623C">
              <w:rPr>
                <w:rFonts w:hint="eastAsia"/>
                <w:szCs w:val="21"/>
              </w:rPr>
              <w:t>半年度</w:t>
            </w:r>
            <w:r w:rsidR="00C74E1B" w:rsidRPr="006A623C">
              <w:rPr>
                <w:rFonts w:hint="eastAsia"/>
                <w:szCs w:val="21"/>
              </w:rPr>
              <w:t>业绩预告。目前基本上</w:t>
            </w:r>
            <w:r w:rsidR="00077354" w:rsidRPr="006A623C">
              <w:rPr>
                <w:rFonts w:hint="eastAsia"/>
                <w:szCs w:val="21"/>
              </w:rPr>
              <w:t>判断</w:t>
            </w:r>
            <w:r w:rsidR="00C74E1B" w:rsidRPr="006A623C">
              <w:rPr>
                <w:rFonts w:hint="eastAsia"/>
                <w:szCs w:val="21"/>
              </w:rPr>
              <w:t>公司的</w:t>
            </w:r>
            <w:r w:rsidR="00FB0F9E" w:rsidRPr="006A623C">
              <w:rPr>
                <w:rFonts w:hint="eastAsia"/>
                <w:szCs w:val="21"/>
              </w:rPr>
              <w:t>半年度</w:t>
            </w:r>
            <w:r w:rsidR="00C74E1B" w:rsidRPr="006A623C">
              <w:rPr>
                <w:rFonts w:hint="eastAsia"/>
                <w:szCs w:val="21"/>
              </w:rPr>
              <w:t>战略目标能完成。</w:t>
            </w:r>
          </w:p>
          <w:p w:rsidR="007B72F9" w:rsidRPr="006A623C" w:rsidRDefault="004B488D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2</w:t>
            </w:r>
            <w:r w:rsidRPr="006A623C">
              <w:rPr>
                <w:rFonts w:hint="eastAsia"/>
                <w:szCs w:val="21"/>
              </w:rPr>
              <w:t>、预计高压部分能完成</w:t>
            </w:r>
            <w:r w:rsidRPr="006A623C">
              <w:rPr>
                <w:rFonts w:hint="eastAsia"/>
                <w:szCs w:val="21"/>
              </w:rPr>
              <w:t>2000</w:t>
            </w:r>
            <w:r w:rsidRPr="006A623C">
              <w:rPr>
                <w:rFonts w:hint="eastAsia"/>
                <w:szCs w:val="21"/>
              </w:rPr>
              <w:t>万的利润吗？</w:t>
            </w:r>
          </w:p>
          <w:p w:rsidR="00986613" w:rsidRPr="006A623C" w:rsidRDefault="004B488D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答：高压部分</w:t>
            </w:r>
            <w:r w:rsidR="00B15B81">
              <w:rPr>
                <w:rFonts w:hint="eastAsia"/>
                <w:szCs w:val="21"/>
              </w:rPr>
              <w:t>目标</w:t>
            </w:r>
            <w:r w:rsidRPr="006A623C">
              <w:rPr>
                <w:rFonts w:hint="eastAsia"/>
                <w:szCs w:val="21"/>
              </w:rPr>
              <w:t>首先是保持行业的领先地位。</w:t>
            </w:r>
            <w:r w:rsidR="00224161" w:rsidRPr="006A623C">
              <w:rPr>
                <w:rFonts w:hint="eastAsia"/>
                <w:szCs w:val="21"/>
              </w:rPr>
              <w:t>其次是确保优质客户，保证公司的现金流及优质订单。</w:t>
            </w:r>
            <w:r w:rsidR="00FB68D6" w:rsidRPr="006A623C">
              <w:rPr>
                <w:rFonts w:hint="eastAsia"/>
                <w:szCs w:val="21"/>
              </w:rPr>
              <w:t>不同的时期会有不同的战略规</w:t>
            </w:r>
            <w:r w:rsidR="00FB68D6" w:rsidRPr="006A623C">
              <w:rPr>
                <w:rFonts w:hint="eastAsia"/>
                <w:szCs w:val="21"/>
              </w:rPr>
              <w:lastRenderedPageBreak/>
              <w:t>划。</w:t>
            </w:r>
            <w:r w:rsidR="005E0321" w:rsidRPr="006A623C">
              <w:rPr>
                <w:rFonts w:hint="eastAsia"/>
                <w:szCs w:val="21"/>
              </w:rPr>
              <w:t>现在高压变频器行业是处于困难时期，</w:t>
            </w:r>
            <w:r w:rsidR="007011D5" w:rsidRPr="006A623C">
              <w:rPr>
                <w:rFonts w:hint="eastAsia"/>
                <w:szCs w:val="21"/>
              </w:rPr>
              <w:t>一味的追求</w:t>
            </w:r>
            <w:r w:rsidR="007011D5" w:rsidRPr="006A623C">
              <w:rPr>
                <w:rFonts w:hint="eastAsia"/>
                <w:szCs w:val="21"/>
              </w:rPr>
              <w:t>2000</w:t>
            </w:r>
            <w:r w:rsidR="007011D5" w:rsidRPr="006A623C">
              <w:rPr>
                <w:rFonts w:hint="eastAsia"/>
                <w:szCs w:val="21"/>
              </w:rPr>
              <w:t>万还是</w:t>
            </w:r>
            <w:r w:rsidR="007011D5" w:rsidRPr="006A623C">
              <w:rPr>
                <w:rFonts w:hint="eastAsia"/>
                <w:szCs w:val="21"/>
              </w:rPr>
              <w:t>3000</w:t>
            </w:r>
            <w:r w:rsidR="007011D5" w:rsidRPr="006A623C">
              <w:rPr>
                <w:rFonts w:hint="eastAsia"/>
                <w:szCs w:val="21"/>
              </w:rPr>
              <w:t>万的利润，没多大的意义，</w:t>
            </w:r>
            <w:r w:rsidR="00A2077C" w:rsidRPr="006A623C">
              <w:rPr>
                <w:rFonts w:hint="eastAsia"/>
                <w:szCs w:val="21"/>
              </w:rPr>
              <w:t>行业洗牌调整期间，</w:t>
            </w:r>
            <w:r w:rsidR="007011D5" w:rsidRPr="006A623C">
              <w:rPr>
                <w:rFonts w:hint="eastAsia"/>
                <w:szCs w:val="21"/>
              </w:rPr>
              <w:t>保持行业的领先地位是最重要的。</w:t>
            </w:r>
            <w:r w:rsidR="008A1D51" w:rsidRPr="006A623C">
              <w:rPr>
                <w:rFonts w:hint="eastAsia"/>
                <w:szCs w:val="21"/>
              </w:rPr>
              <w:t>虽然是行业处于瓶颈期，但是公司市场有</w:t>
            </w:r>
            <w:r w:rsidR="008A1D51" w:rsidRPr="006A623C">
              <w:rPr>
                <w:rFonts w:hint="eastAsia"/>
                <w:szCs w:val="21"/>
              </w:rPr>
              <w:t>10000</w:t>
            </w:r>
            <w:r w:rsidR="008A1D51" w:rsidRPr="006A623C">
              <w:rPr>
                <w:rFonts w:hint="eastAsia"/>
                <w:szCs w:val="21"/>
              </w:rPr>
              <w:t>台的</w:t>
            </w:r>
            <w:r w:rsidR="003933F5" w:rsidRPr="006A623C">
              <w:rPr>
                <w:rFonts w:hint="eastAsia"/>
                <w:szCs w:val="21"/>
              </w:rPr>
              <w:t>高压变频器</w:t>
            </w:r>
            <w:r w:rsidR="008A1D51" w:rsidRPr="006A623C">
              <w:rPr>
                <w:rFonts w:hint="eastAsia"/>
                <w:szCs w:val="21"/>
              </w:rPr>
              <w:t>保有量，</w:t>
            </w:r>
            <w:r w:rsidR="00282E92" w:rsidRPr="006A623C">
              <w:rPr>
                <w:rFonts w:hint="eastAsia"/>
                <w:szCs w:val="21"/>
              </w:rPr>
              <w:t>仅仅</w:t>
            </w:r>
            <w:r w:rsidR="008A1D51" w:rsidRPr="006A623C">
              <w:rPr>
                <w:rFonts w:hint="eastAsia"/>
                <w:szCs w:val="21"/>
              </w:rPr>
              <w:t>公司的</w:t>
            </w:r>
            <w:r w:rsidR="00282E92" w:rsidRPr="006A623C">
              <w:rPr>
                <w:rFonts w:hint="eastAsia"/>
                <w:szCs w:val="21"/>
              </w:rPr>
              <w:t>售后</w:t>
            </w:r>
            <w:r w:rsidR="008A1D51" w:rsidRPr="006A623C">
              <w:rPr>
                <w:rFonts w:hint="eastAsia"/>
                <w:szCs w:val="21"/>
              </w:rPr>
              <w:t>维修服务、以旧换新等</w:t>
            </w:r>
            <w:r w:rsidR="00282E92" w:rsidRPr="006A623C">
              <w:rPr>
                <w:rFonts w:hint="eastAsia"/>
                <w:szCs w:val="21"/>
              </w:rPr>
              <w:t>方式都能为公司每年提供稳定收益。节能减排是国家的长效政策，公司相信经过</w:t>
            </w:r>
            <w:r w:rsidR="002A58EF" w:rsidRPr="006A623C">
              <w:rPr>
                <w:rFonts w:hint="eastAsia"/>
                <w:szCs w:val="21"/>
              </w:rPr>
              <w:t>这一轮的</w:t>
            </w:r>
            <w:r w:rsidR="00282E92" w:rsidRPr="006A623C">
              <w:rPr>
                <w:rFonts w:hint="eastAsia"/>
                <w:szCs w:val="21"/>
              </w:rPr>
              <w:t>行业</w:t>
            </w:r>
            <w:r w:rsidR="002A58EF" w:rsidRPr="006A623C">
              <w:rPr>
                <w:rFonts w:hint="eastAsia"/>
                <w:szCs w:val="21"/>
              </w:rPr>
              <w:t>筛选后</w:t>
            </w:r>
            <w:r w:rsidR="00282E92" w:rsidRPr="006A623C">
              <w:rPr>
                <w:rFonts w:hint="eastAsia"/>
                <w:szCs w:val="21"/>
              </w:rPr>
              <w:t>，</w:t>
            </w:r>
            <w:r w:rsidR="002A58EF" w:rsidRPr="006A623C">
              <w:rPr>
                <w:rFonts w:hint="eastAsia"/>
                <w:szCs w:val="21"/>
              </w:rPr>
              <w:t>公司在高压变频器行业会迎来比较好的发展。</w:t>
            </w:r>
          </w:p>
          <w:p w:rsidR="00986613" w:rsidRPr="006A623C" w:rsidRDefault="0015696F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3</w:t>
            </w:r>
            <w:r w:rsidRPr="006A623C">
              <w:rPr>
                <w:rFonts w:hint="eastAsia"/>
                <w:szCs w:val="21"/>
              </w:rPr>
              <w:t>、华泰润达的利润目标？</w:t>
            </w:r>
          </w:p>
          <w:p w:rsidR="00986613" w:rsidRPr="006A623C" w:rsidRDefault="0015696F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答：华泰润达今年完成</w:t>
            </w:r>
            <w:r w:rsidRPr="006A623C">
              <w:rPr>
                <w:rFonts w:hint="eastAsia"/>
                <w:szCs w:val="21"/>
              </w:rPr>
              <w:t>5000</w:t>
            </w:r>
            <w:r w:rsidRPr="006A623C">
              <w:rPr>
                <w:rFonts w:hint="eastAsia"/>
                <w:szCs w:val="21"/>
              </w:rPr>
              <w:t>万的利润基本上</w:t>
            </w:r>
            <w:r w:rsidR="0020198D" w:rsidRPr="006A623C">
              <w:rPr>
                <w:rFonts w:hint="eastAsia"/>
                <w:szCs w:val="21"/>
              </w:rPr>
              <w:t>可以实现</w:t>
            </w:r>
            <w:r w:rsidRPr="006A623C">
              <w:rPr>
                <w:rFonts w:hint="eastAsia"/>
                <w:szCs w:val="21"/>
              </w:rPr>
              <w:t>。</w:t>
            </w:r>
          </w:p>
          <w:p w:rsidR="00986613" w:rsidRPr="006A623C" w:rsidRDefault="00D0137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4</w:t>
            </w:r>
            <w:r w:rsidRPr="006A623C">
              <w:rPr>
                <w:rFonts w:hint="eastAsia"/>
                <w:szCs w:val="21"/>
              </w:rPr>
              <w:t>、</w:t>
            </w:r>
            <w:r w:rsidR="008918FA" w:rsidRPr="006A623C">
              <w:rPr>
                <w:rFonts w:hint="eastAsia"/>
                <w:szCs w:val="21"/>
              </w:rPr>
              <w:t>集团</w:t>
            </w:r>
            <w:r w:rsidRPr="006A623C">
              <w:rPr>
                <w:rFonts w:hint="eastAsia"/>
                <w:szCs w:val="21"/>
              </w:rPr>
              <w:t>今年的利润目标？</w:t>
            </w:r>
          </w:p>
          <w:p w:rsidR="00986613" w:rsidRPr="006A623C" w:rsidRDefault="00D0137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</w:t>
            </w:r>
            <w:r w:rsidR="00B21C87" w:rsidRPr="006A623C">
              <w:rPr>
                <w:rFonts w:hint="eastAsia"/>
                <w:szCs w:val="21"/>
              </w:rPr>
              <w:t>目标是</w:t>
            </w:r>
            <w:r w:rsidR="002A2B08" w:rsidRPr="006A623C">
              <w:rPr>
                <w:rFonts w:hint="eastAsia"/>
                <w:szCs w:val="21"/>
              </w:rPr>
              <w:t>1.5</w:t>
            </w:r>
            <w:r w:rsidR="002A2B08" w:rsidRPr="006A623C">
              <w:rPr>
                <w:rFonts w:hint="eastAsia"/>
                <w:szCs w:val="21"/>
              </w:rPr>
              <w:t>亿</w:t>
            </w:r>
            <w:r w:rsidR="00B21C87" w:rsidRPr="006A623C">
              <w:rPr>
                <w:rFonts w:hint="eastAsia"/>
                <w:szCs w:val="21"/>
              </w:rPr>
              <w:t>-2</w:t>
            </w:r>
            <w:r w:rsidR="00B21C87" w:rsidRPr="006A623C">
              <w:rPr>
                <w:rFonts w:hint="eastAsia"/>
                <w:szCs w:val="21"/>
              </w:rPr>
              <w:t>亿</w:t>
            </w:r>
            <w:r w:rsidR="002A2B08" w:rsidRPr="006A623C">
              <w:rPr>
                <w:rFonts w:hint="eastAsia"/>
                <w:szCs w:val="21"/>
              </w:rPr>
              <w:t>。</w:t>
            </w:r>
          </w:p>
          <w:p w:rsidR="007B72F9" w:rsidRPr="006A623C" w:rsidRDefault="0018221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C4C46" w:rsidRPr="006A623C">
              <w:rPr>
                <w:rFonts w:hint="eastAsia"/>
                <w:szCs w:val="21"/>
              </w:rPr>
              <w:t>、新能源汽车</w:t>
            </w:r>
            <w:r w:rsidR="00F27354" w:rsidRPr="006A623C">
              <w:rPr>
                <w:rFonts w:hint="eastAsia"/>
                <w:szCs w:val="21"/>
              </w:rPr>
              <w:t>总成的客户</w:t>
            </w:r>
            <w:r w:rsidR="00CB2879" w:rsidRPr="006A623C">
              <w:rPr>
                <w:rFonts w:hint="eastAsia"/>
                <w:szCs w:val="21"/>
              </w:rPr>
              <w:t>主要有哪些</w:t>
            </w:r>
            <w:r w:rsidR="00F27354" w:rsidRPr="006A623C">
              <w:rPr>
                <w:rFonts w:hint="eastAsia"/>
                <w:szCs w:val="21"/>
              </w:rPr>
              <w:t>？</w:t>
            </w:r>
          </w:p>
          <w:p w:rsidR="007B72F9" w:rsidRPr="006A623C" w:rsidRDefault="00CB2879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答：主要有</w:t>
            </w:r>
            <w:r w:rsidR="00F27354" w:rsidRPr="006A623C">
              <w:rPr>
                <w:rFonts w:hint="eastAsia"/>
                <w:szCs w:val="21"/>
              </w:rPr>
              <w:t>中通、北汽福田、舒驰、金龙</w:t>
            </w:r>
            <w:r w:rsidR="00CC4C46" w:rsidRPr="006A623C">
              <w:rPr>
                <w:rFonts w:hint="eastAsia"/>
                <w:szCs w:val="21"/>
              </w:rPr>
              <w:t>等</w:t>
            </w:r>
            <w:r w:rsidR="00CA47B4" w:rsidRPr="006A623C">
              <w:rPr>
                <w:rFonts w:hint="eastAsia"/>
                <w:szCs w:val="21"/>
              </w:rPr>
              <w:t>客户</w:t>
            </w:r>
            <w:r w:rsidR="00CC4C46" w:rsidRPr="006A623C">
              <w:rPr>
                <w:rFonts w:hint="eastAsia"/>
                <w:szCs w:val="21"/>
              </w:rPr>
              <w:t>。</w:t>
            </w:r>
          </w:p>
          <w:p w:rsidR="00CB0178" w:rsidRPr="006A623C" w:rsidRDefault="00182215" w:rsidP="00987088">
            <w:pPr>
              <w:pStyle w:val="ac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CB0178" w:rsidRPr="006A623C">
              <w:rPr>
                <w:rFonts w:hAnsi="宋体" w:hint="eastAsia"/>
                <w:szCs w:val="21"/>
              </w:rPr>
              <w:t>.</w:t>
            </w:r>
            <w:r w:rsidR="00CB0178" w:rsidRPr="006A623C">
              <w:rPr>
                <w:rFonts w:hint="eastAsia"/>
                <w:szCs w:val="21"/>
              </w:rPr>
              <w:t>2016</w:t>
            </w:r>
            <w:r w:rsidR="00CB0178" w:rsidRPr="006A623C">
              <w:rPr>
                <w:rFonts w:hAnsi="宋体" w:hint="eastAsia"/>
                <w:szCs w:val="21"/>
              </w:rPr>
              <w:t>年，预计新能源汽车总成配套在合同中占多少比重？</w:t>
            </w:r>
          </w:p>
          <w:p w:rsidR="00CB0178" w:rsidRPr="006A623C" w:rsidRDefault="00CB0178" w:rsidP="00987088">
            <w:pPr>
              <w:pStyle w:val="ac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Ansi="宋体" w:hint="eastAsia"/>
                <w:szCs w:val="21"/>
              </w:rPr>
              <w:t>答：预计给客户解决整体方案的总成配套订单在公司的订单总额中占</w:t>
            </w:r>
            <w:proofErr w:type="gramStart"/>
            <w:r w:rsidRPr="006A623C">
              <w:rPr>
                <w:rFonts w:hAnsi="宋体" w:hint="eastAsia"/>
                <w:szCs w:val="21"/>
              </w:rPr>
              <w:t>比逐步</w:t>
            </w:r>
            <w:proofErr w:type="gramEnd"/>
            <w:r w:rsidRPr="006A623C">
              <w:rPr>
                <w:rFonts w:hAnsi="宋体" w:hint="eastAsia"/>
                <w:szCs w:val="21"/>
              </w:rPr>
              <w:t>提高，接近</w:t>
            </w:r>
            <w:r w:rsidR="001114B4">
              <w:rPr>
                <w:rFonts w:hAnsi="宋体" w:hint="eastAsia"/>
                <w:szCs w:val="21"/>
              </w:rPr>
              <w:t>3</w:t>
            </w:r>
            <w:r w:rsidRPr="006A623C">
              <w:rPr>
                <w:rFonts w:hAnsi="宋体" w:hint="eastAsia"/>
                <w:szCs w:val="21"/>
              </w:rPr>
              <w:t>0%</w:t>
            </w:r>
            <w:r w:rsidRPr="006A623C">
              <w:rPr>
                <w:rFonts w:hAnsi="宋体" w:hint="eastAsia"/>
                <w:szCs w:val="21"/>
              </w:rPr>
              <w:t>到</w:t>
            </w:r>
            <w:r w:rsidRPr="006A623C">
              <w:rPr>
                <w:rFonts w:hAnsi="宋体" w:hint="eastAsia"/>
                <w:szCs w:val="21"/>
              </w:rPr>
              <w:t>50%</w:t>
            </w:r>
            <w:r w:rsidRPr="006A623C">
              <w:rPr>
                <w:rFonts w:hAnsi="宋体" w:hint="eastAsia"/>
                <w:szCs w:val="21"/>
              </w:rPr>
              <w:t>。</w:t>
            </w:r>
          </w:p>
          <w:p w:rsidR="002A7AC8" w:rsidRPr="006A623C" w:rsidRDefault="00182215" w:rsidP="00987088">
            <w:pPr>
              <w:pStyle w:val="1"/>
              <w:spacing w:beforeLines="50" w:line="360" w:lineRule="auto"/>
              <w:ind w:firstLine="420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7</w:t>
            </w:r>
            <w:r w:rsidR="002A7AC8" w:rsidRPr="006A623C">
              <w:rPr>
                <w:rFonts w:ascii="Verdana" w:hAnsi="Verdana" w:hint="eastAsia"/>
                <w:szCs w:val="21"/>
              </w:rPr>
              <w:t>.</w:t>
            </w:r>
            <w:proofErr w:type="gramStart"/>
            <w:r w:rsidR="002A7AC8" w:rsidRPr="006A623C">
              <w:rPr>
                <w:rFonts w:ascii="Verdana" w:hAnsi="Verdana" w:hint="eastAsia"/>
                <w:szCs w:val="21"/>
              </w:rPr>
              <w:t>合康动力</w:t>
            </w:r>
            <w:proofErr w:type="gramEnd"/>
            <w:r w:rsidR="002A7AC8" w:rsidRPr="006A623C">
              <w:rPr>
                <w:rFonts w:ascii="Verdana" w:hAnsi="Verdana"/>
                <w:szCs w:val="21"/>
              </w:rPr>
              <w:t>的</w:t>
            </w:r>
            <w:r w:rsidR="002A7AC8" w:rsidRPr="006A623C">
              <w:rPr>
                <w:rFonts w:ascii="Verdana" w:hAnsi="Verdana" w:hint="eastAsia"/>
                <w:szCs w:val="21"/>
              </w:rPr>
              <w:t>股权</w:t>
            </w:r>
            <w:r w:rsidR="002A7AC8" w:rsidRPr="006A623C">
              <w:rPr>
                <w:rFonts w:ascii="Verdana" w:hAnsi="Verdana"/>
                <w:szCs w:val="21"/>
              </w:rPr>
              <w:t>情况如何？</w:t>
            </w:r>
          </w:p>
          <w:p w:rsidR="002A7AC8" w:rsidRPr="006A623C" w:rsidRDefault="002A7AC8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ascii="Verdana" w:hAnsi="Verdana" w:hint="eastAsia"/>
                <w:szCs w:val="21"/>
              </w:rPr>
              <w:t>答：公司持股</w:t>
            </w:r>
            <w:r w:rsidRPr="006A623C">
              <w:rPr>
                <w:rFonts w:ascii="Verdana" w:hAnsi="Verdana" w:hint="eastAsia"/>
                <w:szCs w:val="21"/>
              </w:rPr>
              <w:t>60%</w:t>
            </w:r>
            <w:r w:rsidRPr="006A623C">
              <w:rPr>
                <w:rFonts w:ascii="Verdana" w:hAnsi="Verdana" w:hint="eastAsia"/>
                <w:szCs w:val="21"/>
              </w:rPr>
              <w:t>股权，</w:t>
            </w:r>
            <w:proofErr w:type="gramStart"/>
            <w:r w:rsidRPr="006A623C">
              <w:rPr>
                <w:rFonts w:ascii="Verdana" w:hAnsi="Verdana"/>
                <w:szCs w:val="21"/>
              </w:rPr>
              <w:t>合康动力</w:t>
            </w:r>
            <w:proofErr w:type="gramEnd"/>
            <w:r w:rsidRPr="006A623C">
              <w:rPr>
                <w:rFonts w:ascii="Verdana" w:hAnsi="Verdana"/>
                <w:szCs w:val="21"/>
              </w:rPr>
              <w:t>的总经理刘文洲先生</w:t>
            </w:r>
            <w:proofErr w:type="gramStart"/>
            <w:r w:rsidRPr="006A623C">
              <w:rPr>
                <w:rFonts w:ascii="Verdana" w:hAnsi="Verdana"/>
                <w:szCs w:val="21"/>
              </w:rPr>
              <w:t>持有合康动力</w:t>
            </w:r>
            <w:proofErr w:type="gramEnd"/>
            <w:r w:rsidRPr="006A623C">
              <w:rPr>
                <w:rFonts w:ascii="Verdana" w:hAnsi="Verdana"/>
                <w:szCs w:val="21"/>
              </w:rPr>
              <w:t>25%</w:t>
            </w:r>
            <w:r w:rsidRPr="006A623C">
              <w:rPr>
                <w:rFonts w:ascii="Verdana" w:hAnsi="Verdana"/>
                <w:szCs w:val="21"/>
              </w:rPr>
              <w:t>股权。另外的</w:t>
            </w:r>
            <w:r w:rsidRPr="006A623C">
              <w:rPr>
                <w:rFonts w:ascii="Verdana" w:hAnsi="Verdana"/>
                <w:szCs w:val="21"/>
              </w:rPr>
              <w:t>15%</w:t>
            </w:r>
            <w:r w:rsidRPr="006A623C">
              <w:rPr>
                <w:rFonts w:ascii="Verdana" w:hAnsi="Verdana"/>
                <w:szCs w:val="21"/>
              </w:rPr>
              <w:t>股权是由南京睿可电子科技有限公司持有。</w:t>
            </w:r>
            <w:r w:rsidRPr="006A623C">
              <w:rPr>
                <w:rFonts w:hint="eastAsia"/>
                <w:szCs w:val="21"/>
              </w:rPr>
              <w:t xml:space="preserve"> </w:t>
            </w:r>
          </w:p>
          <w:p w:rsidR="007B72F9" w:rsidRPr="006A623C" w:rsidRDefault="0018221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F41750" w:rsidRPr="006A623C">
              <w:rPr>
                <w:rFonts w:hint="eastAsia"/>
                <w:szCs w:val="21"/>
              </w:rPr>
              <w:t>.</w:t>
            </w:r>
            <w:r w:rsidR="00F41750" w:rsidRPr="006A623C">
              <w:rPr>
                <w:rFonts w:hint="eastAsia"/>
                <w:szCs w:val="21"/>
              </w:rPr>
              <w:t>新能源汽车运营了多少台？</w:t>
            </w:r>
          </w:p>
          <w:p w:rsidR="007B72F9" w:rsidRPr="006A623C" w:rsidRDefault="00F41750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答：目前，武汉畅的已有电动车</w:t>
            </w:r>
            <w:r w:rsidRPr="006A623C">
              <w:rPr>
                <w:rFonts w:hint="eastAsia"/>
                <w:szCs w:val="21"/>
              </w:rPr>
              <w:t>300</w:t>
            </w:r>
            <w:r w:rsidRPr="006A623C">
              <w:rPr>
                <w:rFonts w:hint="eastAsia"/>
                <w:szCs w:val="21"/>
              </w:rPr>
              <w:t>辆左右，以乘用车为主，北京畅的</w:t>
            </w:r>
            <w:r w:rsidRPr="006A623C">
              <w:rPr>
                <w:rFonts w:hint="eastAsia"/>
                <w:szCs w:val="21"/>
              </w:rPr>
              <w:t>500</w:t>
            </w:r>
            <w:r w:rsidRPr="006A623C">
              <w:rPr>
                <w:rFonts w:hint="eastAsia"/>
                <w:szCs w:val="21"/>
              </w:rPr>
              <w:t>辆左右，以大客车为主。除此之外，武汉畅的签订</w:t>
            </w:r>
            <w:r w:rsidRPr="006A623C">
              <w:rPr>
                <w:rFonts w:hint="eastAsia"/>
                <w:szCs w:val="21"/>
              </w:rPr>
              <w:t>2000</w:t>
            </w:r>
            <w:r w:rsidRPr="006A623C">
              <w:rPr>
                <w:rFonts w:hint="eastAsia"/>
                <w:szCs w:val="21"/>
              </w:rPr>
              <w:t>台</w:t>
            </w:r>
            <w:proofErr w:type="gramStart"/>
            <w:r w:rsidRPr="006A623C">
              <w:rPr>
                <w:rFonts w:hint="eastAsia"/>
                <w:szCs w:val="21"/>
              </w:rPr>
              <w:t>物流车</w:t>
            </w:r>
            <w:proofErr w:type="gramEnd"/>
            <w:r w:rsidRPr="006A623C">
              <w:rPr>
                <w:rFonts w:hint="eastAsia"/>
                <w:szCs w:val="21"/>
              </w:rPr>
              <w:t>的合同，在</w:t>
            </w:r>
            <w:r w:rsidRPr="006A623C">
              <w:rPr>
                <w:rFonts w:hint="eastAsia"/>
                <w:szCs w:val="21"/>
              </w:rPr>
              <w:t>2017</w:t>
            </w:r>
            <w:r w:rsidRPr="006A623C">
              <w:rPr>
                <w:rFonts w:hint="eastAsia"/>
                <w:szCs w:val="21"/>
              </w:rPr>
              <w:t>年底之前陆续提车。</w:t>
            </w:r>
          </w:p>
          <w:p w:rsidR="00CB0178" w:rsidRPr="006A623C" w:rsidRDefault="00046E0F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CB0178" w:rsidRPr="006A623C">
              <w:rPr>
                <w:rFonts w:hint="eastAsia"/>
                <w:szCs w:val="21"/>
              </w:rPr>
              <w:t>.</w:t>
            </w:r>
            <w:r w:rsidR="00CB0178" w:rsidRPr="006A623C">
              <w:rPr>
                <w:rFonts w:hint="eastAsia"/>
                <w:szCs w:val="21"/>
              </w:rPr>
              <w:t>公司的充电桩是自己生产吗？</w:t>
            </w:r>
          </w:p>
          <w:p w:rsidR="00CB0178" w:rsidRPr="006A623C" w:rsidRDefault="00CB0178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答：是自己生产。公司的充电桩自己设计、生产、运营、维护，</w:t>
            </w:r>
            <w:r w:rsidRPr="006A623C">
              <w:rPr>
                <w:rFonts w:hint="eastAsia"/>
                <w:szCs w:val="21"/>
              </w:rPr>
              <w:lastRenderedPageBreak/>
              <w:t>是一个完整的产业链。</w:t>
            </w:r>
          </w:p>
          <w:p w:rsidR="0092785B" w:rsidRPr="006A623C" w:rsidRDefault="00DD6DBA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="0092785B" w:rsidRPr="006A623C">
              <w:rPr>
                <w:rFonts w:hint="eastAsia"/>
                <w:szCs w:val="21"/>
              </w:rPr>
              <w:t>.</w:t>
            </w:r>
            <w:r w:rsidR="0092785B" w:rsidRPr="006A623C">
              <w:rPr>
                <w:rFonts w:hint="eastAsia"/>
                <w:szCs w:val="21"/>
              </w:rPr>
              <w:t>充电</w:t>
            </w:r>
            <w:proofErr w:type="gramStart"/>
            <w:r w:rsidR="0092785B" w:rsidRPr="006A623C">
              <w:rPr>
                <w:rFonts w:hint="eastAsia"/>
                <w:szCs w:val="21"/>
              </w:rPr>
              <w:t>桩发展</w:t>
            </w:r>
            <w:proofErr w:type="gramEnd"/>
            <w:r w:rsidR="0092785B" w:rsidRPr="006A623C">
              <w:rPr>
                <w:rFonts w:hint="eastAsia"/>
                <w:szCs w:val="21"/>
              </w:rPr>
              <w:t>的规划？</w:t>
            </w:r>
          </w:p>
          <w:p w:rsidR="007B72F9" w:rsidRPr="006A623C" w:rsidRDefault="0092785B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答：公司在拓展布局充电桩的时候，车、桩相连，把新能源车配套好充电桩使用，而不是一味的跑马圈地建充电桩，没有车，将充电桩闲置。</w:t>
            </w:r>
            <w:proofErr w:type="gramStart"/>
            <w:r w:rsidRPr="006A623C">
              <w:rPr>
                <w:rFonts w:hint="eastAsia"/>
                <w:szCs w:val="21"/>
              </w:rPr>
              <w:t>充电桩会陆续</w:t>
            </w:r>
            <w:proofErr w:type="gramEnd"/>
            <w:r w:rsidRPr="006A623C">
              <w:rPr>
                <w:rFonts w:hint="eastAsia"/>
                <w:szCs w:val="21"/>
              </w:rPr>
              <w:t>在多个城市的园区、超市、酒店、卖场、社区旅游景点等地方布局，给大众提供便利服务。</w:t>
            </w:r>
          </w:p>
          <w:p w:rsidR="007B72F9" w:rsidRPr="006A623C" w:rsidRDefault="00CB12A9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="0039721D" w:rsidRPr="006A623C">
              <w:rPr>
                <w:rFonts w:hint="eastAsia"/>
                <w:szCs w:val="21"/>
              </w:rPr>
              <w:t>.</w:t>
            </w:r>
            <w:r w:rsidR="006B55EF" w:rsidRPr="006A623C">
              <w:rPr>
                <w:rFonts w:hint="eastAsia"/>
                <w:szCs w:val="21"/>
              </w:rPr>
              <w:t>北京和武汉两个团队，是独立运营吗？哪个经营更好？</w:t>
            </w:r>
          </w:p>
          <w:p w:rsidR="00986613" w:rsidRPr="006A623C" w:rsidRDefault="006B55EF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答：两个团队是不同的运营对象。</w:t>
            </w:r>
            <w:r w:rsidR="00886542" w:rsidRPr="006A623C">
              <w:rPr>
                <w:rFonts w:hint="eastAsia"/>
                <w:szCs w:val="21"/>
              </w:rPr>
              <w:t>定位不一样。</w:t>
            </w:r>
            <w:r w:rsidRPr="006A623C">
              <w:rPr>
                <w:rFonts w:hint="eastAsia"/>
                <w:szCs w:val="21"/>
              </w:rPr>
              <w:t>武汉畅的以乘用车</w:t>
            </w:r>
            <w:r w:rsidR="001114B4">
              <w:rPr>
                <w:rFonts w:hint="eastAsia"/>
                <w:szCs w:val="21"/>
              </w:rPr>
              <w:t>、</w:t>
            </w:r>
            <w:proofErr w:type="gramStart"/>
            <w:r w:rsidR="001114B4">
              <w:rPr>
                <w:rFonts w:hint="eastAsia"/>
                <w:szCs w:val="21"/>
              </w:rPr>
              <w:t>物流车</w:t>
            </w:r>
            <w:proofErr w:type="gramEnd"/>
            <w:r w:rsidRPr="006A623C">
              <w:rPr>
                <w:rFonts w:hint="eastAsia"/>
                <w:szCs w:val="21"/>
              </w:rPr>
              <w:t>为主，北京畅的以大巴车为主。</w:t>
            </w:r>
            <w:r w:rsidR="00B92C96" w:rsidRPr="006A623C">
              <w:rPr>
                <w:rFonts w:hint="eastAsia"/>
                <w:szCs w:val="21"/>
              </w:rPr>
              <w:t>目前</w:t>
            </w:r>
            <w:r w:rsidR="00490630">
              <w:rPr>
                <w:rFonts w:hint="eastAsia"/>
                <w:szCs w:val="21"/>
              </w:rPr>
              <w:t>1-2</w:t>
            </w:r>
            <w:r w:rsidR="00490630">
              <w:rPr>
                <w:rFonts w:hint="eastAsia"/>
                <w:szCs w:val="21"/>
              </w:rPr>
              <w:t>年</w:t>
            </w:r>
            <w:r w:rsidR="00B92C96" w:rsidRPr="006A623C">
              <w:rPr>
                <w:rFonts w:hint="eastAsia"/>
                <w:szCs w:val="21"/>
              </w:rPr>
              <w:t>是以大巴车为重心，未来是以乘用车为重心。</w:t>
            </w:r>
            <w:r w:rsidR="00F00A88" w:rsidRPr="006A623C">
              <w:rPr>
                <w:rFonts w:hint="eastAsia"/>
                <w:szCs w:val="21"/>
              </w:rPr>
              <w:t>充电桩两边</w:t>
            </w:r>
            <w:r w:rsidR="00E45204" w:rsidRPr="006A623C">
              <w:rPr>
                <w:rFonts w:hint="eastAsia"/>
                <w:szCs w:val="21"/>
              </w:rPr>
              <w:t>团队</w:t>
            </w:r>
            <w:r w:rsidR="00F00A88" w:rsidRPr="006A623C">
              <w:rPr>
                <w:rFonts w:hint="eastAsia"/>
                <w:szCs w:val="21"/>
              </w:rPr>
              <w:t>都</w:t>
            </w:r>
            <w:r w:rsidR="00E45204" w:rsidRPr="006A623C">
              <w:rPr>
                <w:rFonts w:hint="eastAsia"/>
                <w:szCs w:val="21"/>
              </w:rPr>
              <w:t>在</w:t>
            </w:r>
            <w:r w:rsidR="00F00A88" w:rsidRPr="006A623C">
              <w:rPr>
                <w:rFonts w:hint="eastAsia"/>
                <w:szCs w:val="21"/>
              </w:rPr>
              <w:t>运营。</w:t>
            </w:r>
            <w:r w:rsidR="003A3727" w:rsidRPr="006A623C">
              <w:rPr>
                <w:rFonts w:hint="eastAsia"/>
                <w:szCs w:val="21"/>
              </w:rPr>
              <w:t>北京以快充电桩为主，武汉以慢充电桩为主。都是自己生产、自己运营的。</w:t>
            </w:r>
          </w:p>
          <w:p w:rsidR="00986613" w:rsidRPr="006A623C" w:rsidRDefault="0011706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B076EF" w:rsidRPr="006A623C">
              <w:rPr>
                <w:rFonts w:hint="eastAsia"/>
                <w:szCs w:val="21"/>
              </w:rPr>
              <w:t>.</w:t>
            </w:r>
            <w:r w:rsidR="002174EB" w:rsidRPr="006A623C">
              <w:rPr>
                <w:rFonts w:hint="eastAsia"/>
                <w:szCs w:val="21"/>
              </w:rPr>
              <w:t>畅的</w:t>
            </w:r>
            <w:r w:rsidR="001A0AE5" w:rsidRPr="006A623C">
              <w:rPr>
                <w:rFonts w:hint="eastAsia"/>
                <w:szCs w:val="21"/>
              </w:rPr>
              <w:t>平台怎么收费？</w:t>
            </w:r>
          </w:p>
          <w:p w:rsidR="00986613" w:rsidRPr="006A623C" w:rsidRDefault="001A0AE5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答：一般合同签订三年，充电</w:t>
            </w:r>
            <w:r w:rsidR="009868B4" w:rsidRPr="006A623C">
              <w:rPr>
                <w:rFonts w:hint="eastAsia"/>
                <w:szCs w:val="21"/>
              </w:rPr>
              <w:t>收益</w:t>
            </w:r>
            <w:r w:rsidR="002174EB" w:rsidRPr="006A623C">
              <w:rPr>
                <w:rFonts w:hint="eastAsia"/>
                <w:szCs w:val="21"/>
              </w:rPr>
              <w:t>是按比例分成，</w:t>
            </w:r>
            <w:r w:rsidRPr="006A623C">
              <w:rPr>
                <w:rFonts w:hint="eastAsia"/>
                <w:szCs w:val="21"/>
              </w:rPr>
              <w:t>车的</w:t>
            </w:r>
            <w:r w:rsidR="002174EB" w:rsidRPr="006A623C">
              <w:rPr>
                <w:rFonts w:hint="eastAsia"/>
                <w:szCs w:val="21"/>
              </w:rPr>
              <w:t>租车</w:t>
            </w:r>
            <w:r w:rsidRPr="006A623C">
              <w:rPr>
                <w:rFonts w:hint="eastAsia"/>
                <w:szCs w:val="21"/>
              </w:rPr>
              <w:t>收益是固定的。</w:t>
            </w:r>
          </w:p>
          <w:p w:rsidR="00986613" w:rsidRPr="006A623C" w:rsidRDefault="00130BA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="008F2851" w:rsidRPr="006A623C">
              <w:rPr>
                <w:rFonts w:hint="eastAsia"/>
                <w:szCs w:val="21"/>
              </w:rPr>
              <w:t>.</w:t>
            </w:r>
            <w:r w:rsidR="000D0DD0" w:rsidRPr="006A623C">
              <w:rPr>
                <w:rFonts w:hint="eastAsia"/>
                <w:szCs w:val="21"/>
              </w:rPr>
              <w:t>现在哪些城市有布局新能源汽车租赁及充电桩运营？</w:t>
            </w:r>
          </w:p>
          <w:p w:rsidR="00986613" w:rsidRPr="006A623C" w:rsidRDefault="000D0DD0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答：目前除了北京、武汉外，在苏州、南京、平顶山、郑州、烟台都有设立</w:t>
            </w:r>
            <w:r w:rsidR="000145F1" w:rsidRPr="006A623C">
              <w:rPr>
                <w:rFonts w:hint="eastAsia"/>
                <w:szCs w:val="21"/>
              </w:rPr>
              <w:t>新能源汽车租赁及充电桩运营</w:t>
            </w:r>
            <w:r w:rsidRPr="006A623C">
              <w:rPr>
                <w:rFonts w:hint="eastAsia"/>
                <w:szCs w:val="21"/>
              </w:rPr>
              <w:t>公司。</w:t>
            </w:r>
          </w:p>
          <w:p w:rsidR="00986613" w:rsidRPr="006A623C" w:rsidRDefault="00130BA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="002A7AC8" w:rsidRPr="006A623C">
              <w:rPr>
                <w:rFonts w:hint="eastAsia"/>
                <w:szCs w:val="21"/>
              </w:rPr>
              <w:t>.</w:t>
            </w:r>
            <w:r w:rsidR="00AF1ABC" w:rsidRPr="006A623C">
              <w:rPr>
                <w:rFonts w:hint="eastAsia"/>
                <w:szCs w:val="21"/>
              </w:rPr>
              <w:t>哪几个城市已经在正式运营了？</w:t>
            </w:r>
          </w:p>
          <w:p w:rsidR="007B72F9" w:rsidRPr="006A623C" w:rsidRDefault="00AF1ABC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答：平顶山、郑州、武汉、北京都已经运营了。</w:t>
            </w:r>
          </w:p>
          <w:p w:rsidR="00CE5221" w:rsidRPr="006A623C" w:rsidRDefault="00130BA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="00B66E86" w:rsidRPr="006A623C">
              <w:rPr>
                <w:rFonts w:hint="eastAsia"/>
                <w:szCs w:val="21"/>
              </w:rPr>
              <w:t>.</w:t>
            </w:r>
            <w:proofErr w:type="gramStart"/>
            <w:r w:rsidR="00CE5221" w:rsidRPr="006A623C">
              <w:rPr>
                <w:rFonts w:hint="eastAsia"/>
                <w:szCs w:val="21"/>
              </w:rPr>
              <w:t>华泰润达</w:t>
            </w:r>
            <w:proofErr w:type="gramEnd"/>
            <w:r w:rsidR="00CE5221" w:rsidRPr="006A623C">
              <w:rPr>
                <w:rFonts w:hint="eastAsia"/>
                <w:szCs w:val="21"/>
              </w:rPr>
              <w:t>目前的主要项目有哪些？</w:t>
            </w:r>
          </w:p>
          <w:p w:rsidR="00CE5221" w:rsidRPr="006A623C" w:rsidRDefault="00CE522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答：目前已建成的项目包括北京六里屯沼气发电项目、</w:t>
            </w:r>
            <w:r w:rsidR="00490630">
              <w:rPr>
                <w:rFonts w:hint="eastAsia"/>
                <w:szCs w:val="21"/>
              </w:rPr>
              <w:t>延庆垃圾综合处理，丰台餐厨垃圾处理、</w:t>
            </w:r>
            <w:r w:rsidR="007B1C9B" w:rsidRPr="007B1C9B">
              <w:rPr>
                <w:rFonts w:hint="eastAsia"/>
                <w:color w:val="FF0000"/>
                <w:szCs w:val="21"/>
              </w:rPr>
              <w:t>西宁特钢高炉冲渣水余热回收利用工程等。</w:t>
            </w:r>
          </w:p>
          <w:p w:rsidR="00CE5221" w:rsidRPr="006A623C" w:rsidRDefault="00130BA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  <w:r w:rsidR="00B66E86" w:rsidRPr="006A623C">
              <w:rPr>
                <w:rFonts w:hint="eastAsia"/>
                <w:szCs w:val="21"/>
              </w:rPr>
              <w:t>.</w:t>
            </w:r>
            <w:proofErr w:type="gramStart"/>
            <w:r w:rsidR="00CE5221" w:rsidRPr="006A623C">
              <w:rPr>
                <w:rFonts w:hint="eastAsia"/>
                <w:szCs w:val="21"/>
              </w:rPr>
              <w:t>华泰润达</w:t>
            </w:r>
            <w:proofErr w:type="gramEnd"/>
            <w:r w:rsidR="00CE5221" w:rsidRPr="006A623C">
              <w:rPr>
                <w:rFonts w:hint="eastAsia"/>
                <w:szCs w:val="21"/>
              </w:rPr>
              <w:t>会有增长速度吗？</w:t>
            </w:r>
          </w:p>
          <w:p w:rsidR="00CE5221" w:rsidRPr="006A623C" w:rsidRDefault="00CE522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</w:t>
            </w:r>
            <w:proofErr w:type="gramStart"/>
            <w:r w:rsidRPr="006A623C">
              <w:rPr>
                <w:rFonts w:hint="eastAsia"/>
                <w:szCs w:val="21"/>
              </w:rPr>
              <w:t>华泰润达</w:t>
            </w:r>
            <w:proofErr w:type="gramEnd"/>
            <w:r w:rsidRPr="006A623C">
              <w:rPr>
                <w:rFonts w:hint="eastAsia"/>
                <w:szCs w:val="21"/>
              </w:rPr>
              <w:t>肯定会有增长速度，也有承诺利润。</w:t>
            </w:r>
          </w:p>
          <w:p w:rsidR="00CE5221" w:rsidRPr="006A623C" w:rsidRDefault="00354A7C" w:rsidP="00987088">
            <w:pPr>
              <w:pStyle w:val="ac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7</w:t>
            </w:r>
            <w:r w:rsidR="00CE5221" w:rsidRPr="006A623C">
              <w:rPr>
                <w:rFonts w:hint="eastAsia"/>
                <w:szCs w:val="21"/>
              </w:rPr>
              <w:t>.</w:t>
            </w:r>
            <w:r w:rsidR="00CE5221" w:rsidRPr="006A623C">
              <w:rPr>
                <w:rFonts w:hint="eastAsia"/>
                <w:szCs w:val="21"/>
              </w:rPr>
              <w:t>畅的定位：作为盈利点还是替总成系统引流量？</w:t>
            </w:r>
            <w:r w:rsidR="00CE5221" w:rsidRPr="006A623C">
              <w:rPr>
                <w:szCs w:val="21"/>
              </w:rPr>
              <w:t xml:space="preserve"> </w:t>
            </w:r>
          </w:p>
          <w:p w:rsidR="00CE5221" w:rsidRPr="006A623C" w:rsidRDefault="00CE522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答：初期的定位是赢利点，但运营中畅的确实起到了“引流量”的作用，最终还是会作为“赢利点</w:t>
            </w:r>
            <w:r w:rsidRPr="006A623C">
              <w:rPr>
                <w:szCs w:val="21"/>
              </w:rPr>
              <w:t>”</w:t>
            </w:r>
            <w:r w:rsidRPr="006A623C">
              <w:rPr>
                <w:rFonts w:hint="eastAsia"/>
                <w:szCs w:val="21"/>
              </w:rPr>
              <w:t>发展。为了公司在新能源汽车总成及运营产业，形成比较完整的产业链，占有市场更大的发言权，进入乘用车市场，出售更多的系统总成。</w:t>
            </w:r>
          </w:p>
          <w:p w:rsidR="00986613" w:rsidRPr="006A623C" w:rsidRDefault="00354A7C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ascii="Verdana" w:hAnsi="Verdana" w:hint="eastAsia"/>
                <w:szCs w:val="21"/>
              </w:rPr>
              <w:t>1</w:t>
            </w:r>
            <w:r>
              <w:rPr>
                <w:rFonts w:ascii="Verdana" w:hAnsi="Verdana" w:hint="eastAsia"/>
                <w:szCs w:val="21"/>
              </w:rPr>
              <w:t>8</w:t>
            </w:r>
            <w:r w:rsidR="00B66E86" w:rsidRPr="006A623C">
              <w:rPr>
                <w:rFonts w:ascii="Verdana" w:hAnsi="Verdana" w:hint="eastAsia"/>
                <w:szCs w:val="21"/>
              </w:rPr>
              <w:t>.</w:t>
            </w:r>
            <w:r w:rsidR="00ED33B1" w:rsidRPr="006A623C">
              <w:rPr>
                <w:rFonts w:hint="eastAsia"/>
                <w:szCs w:val="21"/>
              </w:rPr>
              <w:t>上周股东减持股票的目的？</w:t>
            </w:r>
          </w:p>
          <w:p w:rsidR="007B72F9" w:rsidRPr="006A623C" w:rsidRDefault="00ED33B1" w:rsidP="00987088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</w:t>
            </w:r>
            <w:r w:rsidR="0078599B" w:rsidRPr="006A623C">
              <w:rPr>
                <w:rFonts w:hint="eastAsia"/>
                <w:szCs w:val="21"/>
              </w:rPr>
              <w:t>上市以来，大股东</w:t>
            </w:r>
            <w:r w:rsidR="00F9480B" w:rsidRPr="006A623C">
              <w:rPr>
                <w:rFonts w:hint="eastAsia"/>
                <w:szCs w:val="21"/>
              </w:rPr>
              <w:t>很少减持股票，</w:t>
            </w:r>
            <w:r w:rsidR="0078599B" w:rsidRPr="006A623C">
              <w:rPr>
                <w:rFonts w:hint="eastAsia"/>
                <w:szCs w:val="21"/>
              </w:rPr>
              <w:t>这次的</w:t>
            </w:r>
            <w:r w:rsidR="00F9480B" w:rsidRPr="006A623C">
              <w:rPr>
                <w:rFonts w:hint="eastAsia"/>
                <w:szCs w:val="21"/>
              </w:rPr>
              <w:t>减持股票数量</w:t>
            </w:r>
            <w:r w:rsidR="0078599B" w:rsidRPr="006A623C">
              <w:rPr>
                <w:rFonts w:hint="eastAsia"/>
                <w:szCs w:val="21"/>
              </w:rPr>
              <w:t>比例也很小，</w:t>
            </w:r>
            <w:r w:rsidR="008C08FB" w:rsidRPr="006A623C">
              <w:rPr>
                <w:rFonts w:hint="eastAsia"/>
                <w:szCs w:val="21"/>
              </w:rPr>
              <w:t>是基于改善个人的财务需要。</w:t>
            </w:r>
          </w:p>
          <w:p w:rsidR="00986613" w:rsidRPr="00490630" w:rsidRDefault="00986613" w:rsidP="00987088">
            <w:pPr>
              <w:pStyle w:val="1"/>
              <w:spacing w:beforeLines="50" w:line="360" w:lineRule="auto"/>
              <w:ind w:firstLineChars="0" w:firstLine="0"/>
              <w:rPr>
                <w:szCs w:val="21"/>
              </w:rPr>
            </w:pPr>
          </w:p>
        </w:tc>
      </w:tr>
      <w:tr w:rsidR="00A266D0" w:rsidRPr="006A623C">
        <w:tc>
          <w:tcPr>
            <w:tcW w:w="1908" w:type="dxa"/>
            <w:vAlign w:val="center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A266D0" w:rsidRPr="006A623C" w:rsidRDefault="00A266D0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</w:p>
        </w:tc>
      </w:tr>
      <w:tr w:rsidR="00A266D0" w:rsidRPr="006A623C">
        <w:tc>
          <w:tcPr>
            <w:tcW w:w="1908" w:type="dxa"/>
            <w:vAlign w:val="center"/>
          </w:tcPr>
          <w:p w:rsidR="00A266D0" w:rsidRPr="006A623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/>
                <w:bCs/>
                <w:iCs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A266D0" w:rsidRPr="006A623C" w:rsidRDefault="002F43DB" w:rsidP="002F43DB">
            <w:pPr>
              <w:spacing w:line="480" w:lineRule="atLeast"/>
              <w:jc w:val="center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2016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年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6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月</w:t>
            </w:r>
            <w:r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28</w:t>
            </w:r>
            <w:r w:rsidR="000F6263" w:rsidRPr="006A623C">
              <w:rPr>
                <w:rFonts w:ascii="Calibri" w:hAnsi="Calibri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:rsidR="00A266D0" w:rsidRPr="006A623C" w:rsidRDefault="00A266D0">
      <w:pPr>
        <w:rPr>
          <w:rFonts w:ascii="Calibri" w:hAnsi="Calibri"/>
        </w:rPr>
      </w:pPr>
    </w:p>
    <w:sectPr w:rsidR="00A266D0" w:rsidRPr="006A623C" w:rsidSect="00A266D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CE" w:rsidRDefault="009E2FCE" w:rsidP="00A266D0">
      <w:r>
        <w:separator/>
      </w:r>
    </w:p>
  </w:endnote>
  <w:endnote w:type="continuationSeparator" w:id="0">
    <w:p w:rsidR="009E2FCE" w:rsidRDefault="009E2FCE" w:rsidP="00A2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D0" w:rsidRDefault="007B1C9B">
    <w:pPr>
      <w:pStyle w:val="a5"/>
      <w:jc w:val="center"/>
    </w:pPr>
    <w:r>
      <w:fldChar w:fldCharType="begin"/>
    </w:r>
    <w:r w:rsidR="000F6263">
      <w:instrText xml:space="preserve"> PAGE   \* MERGEFORMAT </w:instrText>
    </w:r>
    <w:r>
      <w:fldChar w:fldCharType="separate"/>
    </w:r>
    <w:r w:rsidR="00987088" w:rsidRPr="00987088">
      <w:rPr>
        <w:noProof/>
        <w:lang w:val="zh-CN"/>
      </w:rPr>
      <w:t>1</w:t>
    </w:r>
    <w:r>
      <w:fldChar w:fldCharType="end"/>
    </w:r>
  </w:p>
  <w:p w:rsidR="00A266D0" w:rsidRDefault="00A2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CE" w:rsidRDefault="009E2FCE" w:rsidP="00A266D0">
      <w:r>
        <w:separator/>
      </w:r>
    </w:p>
  </w:footnote>
  <w:footnote w:type="continuationSeparator" w:id="0">
    <w:p w:rsidR="009E2FCE" w:rsidRDefault="009E2FCE" w:rsidP="00A26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A266D0"/>
    <w:rsid w:val="000145F1"/>
    <w:rsid w:val="00023F4F"/>
    <w:rsid w:val="00032515"/>
    <w:rsid w:val="00042594"/>
    <w:rsid w:val="00046E0F"/>
    <w:rsid w:val="00077354"/>
    <w:rsid w:val="0009580D"/>
    <w:rsid w:val="000C21EE"/>
    <w:rsid w:val="000D0DD0"/>
    <w:rsid w:val="000D1F99"/>
    <w:rsid w:val="000F0684"/>
    <w:rsid w:val="000F0B98"/>
    <w:rsid w:val="000F3BE7"/>
    <w:rsid w:val="000F6263"/>
    <w:rsid w:val="000F7C49"/>
    <w:rsid w:val="001077A2"/>
    <w:rsid w:val="001114B4"/>
    <w:rsid w:val="00117065"/>
    <w:rsid w:val="00124D77"/>
    <w:rsid w:val="00130BA1"/>
    <w:rsid w:val="00135380"/>
    <w:rsid w:val="001359F4"/>
    <w:rsid w:val="001501C3"/>
    <w:rsid w:val="001538DD"/>
    <w:rsid w:val="0015696F"/>
    <w:rsid w:val="00165F49"/>
    <w:rsid w:val="001677DD"/>
    <w:rsid w:val="00172256"/>
    <w:rsid w:val="00177DF2"/>
    <w:rsid w:val="00182215"/>
    <w:rsid w:val="001835C1"/>
    <w:rsid w:val="00186411"/>
    <w:rsid w:val="00190773"/>
    <w:rsid w:val="001910B4"/>
    <w:rsid w:val="001A0AE5"/>
    <w:rsid w:val="001B1F87"/>
    <w:rsid w:val="001B26FA"/>
    <w:rsid w:val="001B3D76"/>
    <w:rsid w:val="001D574C"/>
    <w:rsid w:val="001E1DA3"/>
    <w:rsid w:val="001E6AD6"/>
    <w:rsid w:val="00200987"/>
    <w:rsid w:val="0020198D"/>
    <w:rsid w:val="00213D2B"/>
    <w:rsid w:val="00217235"/>
    <w:rsid w:val="002174EB"/>
    <w:rsid w:val="00221912"/>
    <w:rsid w:val="00224161"/>
    <w:rsid w:val="002248AD"/>
    <w:rsid w:val="0023315C"/>
    <w:rsid w:val="00240314"/>
    <w:rsid w:val="00246E6B"/>
    <w:rsid w:val="00256BA5"/>
    <w:rsid w:val="00276F14"/>
    <w:rsid w:val="00282E92"/>
    <w:rsid w:val="002842A4"/>
    <w:rsid w:val="002A2B08"/>
    <w:rsid w:val="002A40EC"/>
    <w:rsid w:val="002A58EF"/>
    <w:rsid w:val="002A7AC8"/>
    <w:rsid w:val="002B2580"/>
    <w:rsid w:val="002C139E"/>
    <w:rsid w:val="002C2294"/>
    <w:rsid w:val="002C5015"/>
    <w:rsid w:val="002C6750"/>
    <w:rsid w:val="002C6809"/>
    <w:rsid w:val="002D2ED4"/>
    <w:rsid w:val="002D5DBF"/>
    <w:rsid w:val="002D6873"/>
    <w:rsid w:val="002E0B30"/>
    <w:rsid w:val="002F23A9"/>
    <w:rsid w:val="002F3725"/>
    <w:rsid w:val="002F43DB"/>
    <w:rsid w:val="00306D08"/>
    <w:rsid w:val="00315F56"/>
    <w:rsid w:val="003370DE"/>
    <w:rsid w:val="00337CF1"/>
    <w:rsid w:val="00341CF9"/>
    <w:rsid w:val="00346709"/>
    <w:rsid w:val="00354A7C"/>
    <w:rsid w:val="00357911"/>
    <w:rsid w:val="003602E1"/>
    <w:rsid w:val="00367829"/>
    <w:rsid w:val="003704D5"/>
    <w:rsid w:val="0039006E"/>
    <w:rsid w:val="00392EDA"/>
    <w:rsid w:val="003933F5"/>
    <w:rsid w:val="0039721D"/>
    <w:rsid w:val="003A3727"/>
    <w:rsid w:val="003B65B4"/>
    <w:rsid w:val="003C2B13"/>
    <w:rsid w:val="003D1BC7"/>
    <w:rsid w:val="003D33FB"/>
    <w:rsid w:val="003F265C"/>
    <w:rsid w:val="00410DED"/>
    <w:rsid w:val="004144F0"/>
    <w:rsid w:val="004302EB"/>
    <w:rsid w:val="00435921"/>
    <w:rsid w:val="00437D9B"/>
    <w:rsid w:val="00437EBB"/>
    <w:rsid w:val="00446326"/>
    <w:rsid w:val="00447EB6"/>
    <w:rsid w:val="0045038D"/>
    <w:rsid w:val="00450F31"/>
    <w:rsid w:val="00452195"/>
    <w:rsid w:val="0047411A"/>
    <w:rsid w:val="004845CB"/>
    <w:rsid w:val="00490630"/>
    <w:rsid w:val="004A187C"/>
    <w:rsid w:val="004B002B"/>
    <w:rsid w:val="004B2707"/>
    <w:rsid w:val="004B488D"/>
    <w:rsid w:val="004C6FFE"/>
    <w:rsid w:val="004E2245"/>
    <w:rsid w:val="004E4038"/>
    <w:rsid w:val="004F5C56"/>
    <w:rsid w:val="00504A5C"/>
    <w:rsid w:val="00504C09"/>
    <w:rsid w:val="0052301A"/>
    <w:rsid w:val="00526142"/>
    <w:rsid w:val="00526884"/>
    <w:rsid w:val="005446D7"/>
    <w:rsid w:val="0054654E"/>
    <w:rsid w:val="0055122D"/>
    <w:rsid w:val="005561CB"/>
    <w:rsid w:val="00576039"/>
    <w:rsid w:val="00594C36"/>
    <w:rsid w:val="005B4679"/>
    <w:rsid w:val="005C0C00"/>
    <w:rsid w:val="005C1B39"/>
    <w:rsid w:val="005C71A5"/>
    <w:rsid w:val="005D0BD5"/>
    <w:rsid w:val="005D1D84"/>
    <w:rsid w:val="005E0321"/>
    <w:rsid w:val="005E31E3"/>
    <w:rsid w:val="005F0A32"/>
    <w:rsid w:val="005F1875"/>
    <w:rsid w:val="00602EB4"/>
    <w:rsid w:val="00603809"/>
    <w:rsid w:val="0060468F"/>
    <w:rsid w:val="00626C40"/>
    <w:rsid w:val="006329BC"/>
    <w:rsid w:val="006424C0"/>
    <w:rsid w:val="006429F9"/>
    <w:rsid w:val="00650FD9"/>
    <w:rsid w:val="00653CE5"/>
    <w:rsid w:val="006545E9"/>
    <w:rsid w:val="00663A6F"/>
    <w:rsid w:val="00670676"/>
    <w:rsid w:val="00677ABD"/>
    <w:rsid w:val="00684EFA"/>
    <w:rsid w:val="00691B8F"/>
    <w:rsid w:val="006A268D"/>
    <w:rsid w:val="006A455D"/>
    <w:rsid w:val="006A623C"/>
    <w:rsid w:val="006B2788"/>
    <w:rsid w:val="006B55EF"/>
    <w:rsid w:val="006C020D"/>
    <w:rsid w:val="006C18CC"/>
    <w:rsid w:val="006C29A2"/>
    <w:rsid w:val="006C5D8E"/>
    <w:rsid w:val="006C7C98"/>
    <w:rsid w:val="006E2F4C"/>
    <w:rsid w:val="007011D5"/>
    <w:rsid w:val="007042C5"/>
    <w:rsid w:val="00704E8B"/>
    <w:rsid w:val="00706FB7"/>
    <w:rsid w:val="00711E73"/>
    <w:rsid w:val="007167E8"/>
    <w:rsid w:val="007168D9"/>
    <w:rsid w:val="00723A36"/>
    <w:rsid w:val="00726971"/>
    <w:rsid w:val="007502CE"/>
    <w:rsid w:val="00764F2E"/>
    <w:rsid w:val="007739DA"/>
    <w:rsid w:val="00784956"/>
    <w:rsid w:val="0078599B"/>
    <w:rsid w:val="007874E2"/>
    <w:rsid w:val="00795A9B"/>
    <w:rsid w:val="00797392"/>
    <w:rsid w:val="007A7BC7"/>
    <w:rsid w:val="007B1C9B"/>
    <w:rsid w:val="007B245F"/>
    <w:rsid w:val="007B72F9"/>
    <w:rsid w:val="007B7AD2"/>
    <w:rsid w:val="007E05A4"/>
    <w:rsid w:val="007E1B10"/>
    <w:rsid w:val="007F5286"/>
    <w:rsid w:val="007F5761"/>
    <w:rsid w:val="00801EF6"/>
    <w:rsid w:val="008213C8"/>
    <w:rsid w:val="00827BC3"/>
    <w:rsid w:val="00833A4C"/>
    <w:rsid w:val="00833DFE"/>
    <w:rsid w:val="00835B20"/>
    <w:rsid w:val="00850601"/>
    <w:rsid w:val="00862AB9"/>
    <w:rsid w:val="00862C8E"/>
    <w:rsid w:val="00881667"/>
    <w:rsid w:val="00882A79"/>
    <w:rsid w:val="00886542"/>
    <w:rsid w:val="00887447"/>
    <w:rsid w:val="008918FA"/>
    <w:rsid w:val="00895523"/>
    <w:rsid w:val="008A1D51"/>
    <w:rsid w:val="008A5FE2"/>
    <w:rsid w:val="008A79ED"/>
    <w:rsid w:val="008B0E44"/>
    <w:rsid w:val="008B22B7"/>
    <w:rsid w:val="008B4413"/>
    <w:rsid w:val="008C08FB"/>
    <w:rsid w:val="008C7674"/>
    <w:rsid w:val="008E0A89"/>
    <w:rsid w:val="008F2851"/>
    <w:rsid w:val="00901A39"/>
    <w:rsid w:val="009075A9"/>
    <w:rsid w:val="00923B43"/>
    <w:rsid w:val="00924E18"/>
    <w:rsid w:val="0092785B"/>
    <w:rsid w:val="00944D56"/>
    <w:rsid w:val="009749D5"/>
    <w:rsid w:val="00974CCA"/>
    <w:rsid w:val="00981191"/>
    <w:rsid w:val="00986613"/>
    <w:rsid w:val="009868B4"/>
    <w:rsid w:val="00987088"/>
    <w:rsid w:val="00987368"/>
    <w:rsid w:val="009972A0"/>
    <w:rsid w:val="009B0133"/>
    <w:rsid w:val="009B167F"/>
    <w:rsid w:val="009C289C"/>
    <w:rsid w:val="009C5BE2"/>
    <w:rsid w:val="009C6D9F"/>
    <w:rsid w:val="009C75B3"/>
    <w:rsid w:val="009D06B0"/>
    <w:rsid w:val="009D0C0B"/>
    <w:rsid w:val="009E0621"/>
    <w:rsid w:val="009E2FCE"/>
    <w:rsid w:val="00A173AC"/>
    <w:rsid w:val="00A2077C"/>
    <w:rsid w:val="00A2564D"/>
    <w:rsid w:val="00A266D0"/>
    <w:rsid w:val="00A271EC"/>
    <w:rsid w:val="00A34BDD"/>
    <w:rsid w:val="00A36BAD"/>
    <w:rsid w:val="00A60D0C"/>
    <w:rsid w:val="00A70DD6"/>
    <w:rsid w:val="00A739DA"/>
    <w:rsid w:val="00A767AD"/>
    <w:rsid w:val="00A9468B"/>
    <w:rsid w:val="00AA491D"/>
    <w:rsid w:val="00AB1CB4"/>
    <w:rsid w:val="00AB67E0"/>
    <w:rsid w:val="00AC15F7"/>
    <w:rsid w:val="00AC3AE3"/>
    <w:rsid w:val="00AD03F0"/>
    <w:rsid w:val="00AD2DB4"/>
    <w:rsid w:val="00AD6002"/>
    <w:rsid w:val="00AE0063"/>
    <w:rsid w:val="00AE2BBD"/>
    <w:rsid w:val="00AF1ABC"/>
    <w:rsid w:val="00AF3ED3"/>
    <w:rsid w:val="00AF42F4"/>
    <w:rsid w:val="00B05E44"/>
    <w:rsid w:val="00B076EF"/>
    <w:rsid w:val="00B130D0"/>
    <w:rsid w:val="00B138A6"/>
    <w:rsid w:val="00B13EB5"/>
    <w:rsid w:val="00B15B81"/>
    <w:rsid w:val="00B20CAB"/>
    <w:rsid w:val="00B21C87"/>
    <w:rsid w:val="00B31BF1"/>
    <w:rsid w:val="00B34814"/>
    <w:rsid w:val="00B3486C"/>
    <w:rsid w:val="00B416FD"/>
    <w:rsid w:val="00B42629"/>
    <w:rsid w:val="00B46BE2"/>
    <w:rsid w:val="00B54B50"/>
    <w:rsid w:val="00B57C47"/>
    <w:rsid w:val="00B64120"/>
    <w:rsid w:val="00B66E86"/>
    <w:rsid w:val="00B83F1A"/>
    <w:rsid w:val="00B84054"/>
    <w:rsid w:val="00B87FA3"/>
    <w:rsid w:val="00B92C96"/>
    <w:rsid w:val="00BA0487"/>
    <w:rsid w:val="00BB3315"/>
    <w:rsid w:val="00BC0882"/>
    <w:rsid w:val="00BD5CF5"/>
    <w:rsid w:val="00BF275C"/>
    <w:rsid w:val="00BF715E"/>
    <w:rsid w:val="00C00799"/>
    <w:rsid w:val="00C14283"/>
    <w:rsid w:val="00C17A43"/>
    <w:rsid w:val="00C26197"/>
    <w:rsid w:val="00C30589"/>
    <w:rsid w:val="00C35756"/>
    <w:rsid w:val="00C4648D"/>
    <w:rsid w:val="00C47296"/>
    <w:rsid w:val="00C50E1D"/>
    <w:rsid w:val="00C60D0E"/>
    <w:rsid w:val="00C62459"/>
    <w:rsid w:val="00C642FC"/>
    <w:rsid w:val="00C677A3"/>
    <w:rsid w:val="00C70629"/>
    <w:rsid w:val="00C706C0"/>
    <w:rsid w:val="00C733ED"/>
    <w:rsid w:val="00C74E1B"/>
    <w:rsid w:val="00C74EF0"/>
    <w:rsid w:val="00C86348"/>
    <w:rsid w:val="00CA0F6D"/>
    <w:rsid w:val="00CA1C01"/>
    <w:rsid w:val="00CA3D22"/>
    <w:rsid w:val="00CA47B4"/>
    <w:rsid w:val="00CB0178"/>
    <w:rsid w:val="00CB12A9"/>
    <w:rsid w:val="00CB2879"/>
    <w:rsid w:val="00CB37AD"/>
    <w:rsid w:val="00CC331C"/>
    <w:rsid w:val="00CC4C46"/>
    <w:rsid w:val="00CD5D01"/>
    <w:rsid w:val="00CE0C45"/>
    <w:rsid w:val="00CE5221"/>
    <w:rsid w:val="00CF00FE"/>
    <w:rsid w:val="00CF4095"/>
    <w:rsid w:val="00D01375"/>
    <w:rsid w:val="00D05B4B"/>
    <w:rsid w:val="00D163C1"/>
    <w:rsid w:val="00D23676"/>
    <w:rsid w:val="00D25CF8"/>
    <w:rsid w:val="00D45CB1"/>
    <w:rsid w:val="00D47155"/>
    <w:rsid w:val="00D50A54"/>
    <w:rsid w:val="00DC1B36"/>
    <w:rsid w:val="00DC2EB0"/>
    <w:rsid w:val="00DC6C3B"/>
    <w:rsid w:val="00DD6DBA"/>
    <w:rsid w:val="00DE654F"/>
    <w:rsid w:val="00DE767E"/>
    <w:rsid w:val="00DF17BD"/>
    <w:rsid w:val="00DF261C"/>
    <w:rsid w:val="00DF77AD"/>
    <w:rsid w:val="00E0413F"/>
    <w:rsid w:val="00E04991"/>
    <w:rsid w:val="00E1316A"/>
    <w:rsid w:val="00E27F9F"/>
    <w:rsid w:val="00E45204"/>
    <w:rsid w:val="00E504E7"/>
    <w:rsid w:val="00E54FEB"/>
    <w:rsid w:val="00E55860"/>
    <w:rsid w:val="00E64940"/>
    <w:rsid w:val="00E947E9"/>
    <w:rsid w:val="00EB7D0A"/>
    <w:rsid w:val="00ED33B1"/>
    <w:rsid w:val="00ED4409"/>
    <w:rsid w:val="00EE02D6"/>
    <w:rsid w:val="00EF3FCF"/>
    <w:rsid w:val="00EF7EC7"/>
    <w:rsid w:val="00F00A88"/>
    <w:rsid w:val="00F10084"/>
    <w:rsid w:val="00F16026"/>
    <w:rsid w:val="00F26B4D"/>
    <w:rsid w:val="00F27354"/>
    <w:rsid w:val="00F34DFD"/>
    <w:rsid w:val="00F36116"/>
    <w:rsid w:val="00F362E6"/>
    <w:rsid w:val="00F37923"/>
    <w:rsid w:val="00F402EF"/>
    <w:rsid w:val="00F41750"/>
    <w:rsid w:val="00F4619D"/>
    <w:rsid w:val="00F604CD"/>
    <w:rsid w:val="00F6715E"/>
    <w:rsid w:val="00F835EE"/>
    <w:rsid w:val="00F93E1D"/>
    <w:rsid w:val="00F9480B"/>
    <w:rsid w:val="00F9651D"/>
    <w:rsid w:val="00F96546"/>
    <w:rsid w:val="00FA18F2"/>
    <w:rsid w:val="00FA7831"/>
    <w:rsid w:val="00FB0F9E"/>
    <w:rsid w:val="00FB68D6"/>
    <w:rsid w:val="00FC0C65"/>
    <w:rsid w:val="00FD6F42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6D0"/>
    <w:pPr>
      <w:spacing w:after="120"/>
      <w:ind w:leftChars="200" w:left="200"/>
    </w:pPr>
    <w:rPr>
      <w:szCs w:val="20"/>
    </w:rPr>
  </w:style>
  <w:style w:type="paragraph" w:styleId="a4">
    <w:name w:val="header"/>
    <w:basedOn w:val="a"/>
    <w:link w:val="Char"/>
    <w:uiPriority w:val="99"/>
    <w:rsid w:val="00A26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26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A266D0"/>
    <w:pPr>
      <w:ind w:firstLineChars="200" w:firstLine="200"/>
    </w:pPr>
    <w:rPr>
      <w:rFonts w:ascii="Calibri" w:hAnsi="Calibri"/>
      <w:szCs w:val="22"/>
    </w:rPr>
  </w:style>
  <w:style w:type="paragraph" w:styleId="a6">
    <w:name w:val="Balloon Text"/>
    <w:basedOn w:val="a"/>
    <w:rsid w:val="00A266D0"/>
    <w:rPr>
      <w:sz w:val="18"/>
      <w:szCs w:val="18"/>
    </w:rPr>
  </w:style>
  <w:style w:type="character" w:styleId="a7">
    <w:name w:val="Strong"/>
    <w:basedOn w:val="a0"/>
    <w:rsid w:val="00A266D0"/>
    <w:rPr>
      <w:b/>
      <w:bCs/>
    </w:rPr>
  </w:style>
  <w:style w:type="paragraph" w:styleId="a8">
    <w:name w:val="Normal (Web)"/>
    <w:basedOn w:val="a"/>
    <w:rsid w:val="00A266D0"/>
    <w:pPr>
      <w:widowControl/>
      <w:spacing w:before="100" w:beforeAutospacing="1" w:after="100" w:afterAutospacing="1" w:line="300" w:lineRule="atLeast"/>
      <w:jc w:val="left"/>
    </w:pPr>
    <w:rPr>
      <w:rFonts w:ascii="宋体" w:cs="宋体"/>
      <w:kern w:val="0"/>
      <w:sz w:val="24"/>
    </w:rPr>
  </w:style>
  <w:style w:type="character" w:styleId="a9">
    <w:name w:val="annotation reference"/>
    <w:basedOn w:val="a0"/>
    <w:rsid w:val="00A266D0"/>
    <w:rPr>
      <w:sz w:val="21"/>
      <w:szCs w:val="21"/>
    </w:rPr>
  </w:style>
  <w:style w:type="paragraph" w:styleId="aa">
    <w:name w:val="annotation text"/>
    <w:basedOn w:val="a"/>
    <w:rsid w:val="00A266D0"/>
    <w:pPr>
      <w:jc w:val="left"/>
    </w:pPr>
  </w:style>
  <w:style w:type="paragraph" w:styleId="ab">
    <w:name w:val="annotation subject"/>
    <w:basedOn w:val="aa"/>
    <w:next w:val="aa"/>
    <w:rsid w:val="00A266D0"/>
    <w:rPr>
      <w:b/>
      <w:bCs/>
    </w:rPr>
  </w:style>
  <w:style w:type="paragraph" w:styleId="ac">
    <w:name w:val="List Paragraph"/>
    <w:qFormat/>
    <w:rsid w:val="00A266D0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眉 Char"/>
    <w:basedOn w:val="a0"/>
    <w:link w:val="a4"/>
    <w:uiPriority w:val="99"/>
    <w:rsid w:val="00650F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291</Words>
  <Characters>1660</Characters>
  <Application>Microsoft Office Word</Application>
  <DocSecurity>0</DocSecurity>
  <Lines>13</Lines>
  <Paragraphs>3</Paragraphs>
  <ScaleCrop>false</ScaleCrop>
  <Company>番茄花园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liyh</dc:creator>
  <cp:lastModifiedBy>微软用户</cp:lastModifiedBy>
  <cp:revision>811</cp:revision>
  <cp:lastPrinted>2015-09-13T07:45:00Z</cp:lastPrinted>
  <dcterms:created xsi:type="dcterms:W3CDTF">2016-06-07T02:53:00Z</dcterms:created>
  <dcterms:modified xsi:type="dcterms:W3CDTF">2016-06-29T09:06:00Z</dcterms:modified>
</cp:coreProperties>
</file>