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2E" w:rsidRDefault="001C67A3" w:rsidP="00E5522C">
      <w:pPr>
        <w:spacing w:beforeLines="50" w:afterLines="50" w:line="400" w:lineRule="exact"/>
        <w:ind w:firstLineChars="300" w:firstLine="720"/>
        <w:rPr>
          <w:rFonts w:ascii="宋体"/>
          <w:color w:val="000000"/>
          <w:sz w:val="24"/>
          <w:szCs w:val="24"/>
        </w:rPr>
      </w:pPr>
      <w:r>
        <w:rPr>
          <w:rFonts w:ascii="宋体" w:hAnsi="宋体" w:cs="宋体" w:hint="eastAsia"/>
          <w:color w:val="000000"/>
          <w:sz w:val="24"/>
          <w:szCs w:val="24"/>
        </w:rPr>
        <w:t>证券代码：</w:t>
      </w:r>
      <w:r>
        <w:rPr>
          <w:rFonts w:ascii="宋体" w:hAnsi="宋体" w:cs="宋体"/>
          <w:color w:val="000000"/>
          <w:sz w:val="24"/>
          <w:szCs w:val="24"/>
        </w:rPr>
        <w:t xml:space="preserve">002361                       </w:t>
      </w:r>
      <w:r>
        <w:rPr>
          <w:rFonts w:ascii="宋体" w:hAnsi="宋体" w:cs="宋体" w:hint="eastAsia"/>
          <w:color w:val="000000"/>
          <w:sz w:val="24"/>
          <w:szCs w:val="24"/>
        </w:rPr>
        <w:t>证券简称：神剑股份</w:t>
      </w:r>
    </w:p>
    <w:p w:rsidR="00D5352E" w:rsidRDefault="001C67A3" w:rsidP="00E5522C">
      <w:pPr>
        <w:spacing w:beforeLines="50" w:afterLines="50" w:line="400" w:lineRule="exact"/>
        <w:jc w:val="center"/>
        <w:rPr>
          <w:rFonts w:ascii="宋体"/>
          <w:b/>
          <w:bCs/>
          <w:color w:val="000000"/>
          <w:sz w:val="32"/>
          <w:szCs w:val="32"/>
        </w:rPr>
      </w:pPr>
      <w:r>
        <w:rPr>
          <w:rFonts w:ascii="宋体" w:hAnsi="宋体" w:cs="宋体" w:hint="eastAsia"/>
          <w:b/>
          <w:bCs/>
          <w:color w:val="000000"/>
          <w:sz w:val="32"/>
          <w:szCs w:val="32"/>
        </w:rPr>
        <w:t>安徽神剑新材料股份有限公司</w:t>
      </w:r>
    </w:p>
    <w:p w:rsidR="00D5352E" w:rsidRDefault="001C67A3" w:rsidP="00E5522C">
      <w:pPr>
        <w:spacing w:beforeLines="50" w:afterLines="50" w:line="400" w:lineRule="exact"/>
        <w:jc w:val="center"/>
        <w:rPr>
          <w:rFonts w:ascii="宋体"/>
          <w:b/>
          <w:bCs/>
          <w:sz w:val="24"/>
          <w:szCs w:val="24"/>
        </w:rPr>
      </w:pPr>
      <w:r>
        <w:rPr>
          <w:rFonts w:ascii="宋体" w:hAnsi="宋体" w:cs="宋体" w:hint="eastAsia"/>
          <w:b/>
          <w:bCs/>
          <w:sz w:val="24"/>
          <w:szCs w:val="24"/>
        </w:rPr>
        <w:t>投资者关系活动记录表</w:t>
      </w:r>
    </w:p>
    <w:p w:rsidR="00D5352E" w:rsidRDefault="001C67A3">
      <w:pPr>
        <w:spacing w:line="400" w:lineRule="exact"/>
        <w:rPr>
          <w:rFonts w:ascii="宋体"/>
          <w:sz w:val="24"/>
          <w:szCs w:val="24"/>
        </w:rPr>
      </w:pPr>
      <w:r>
        <w:rPr>
          <w:rFonts w:ascii="宋体" w:hAnsi="宋体" w:cs="宋体" w:hint="eastAsia"/>
          <w:sz w:val="24"/>
          <w:szCs w:val="24"/>
        </w:rPr>
        <w:t>编号：</w:t>
      </w:r>
      <w:r>
        <w:rPr>
          <w:rFonts w:ascii="宋体" w:hAnsi="宋体" w:cs="宋体"/>
          <w:sz w:val="24"/>
          <w:szCs w:val="24"/>
        </w:rPr>
        <w:t>2016-0</w:t>
      </w:r>
      <w:r>
        <w:rPr>
          <w:rFonts w:ascii="宋体" w:hAnsi="宋体" w:cs="宋体" w:hint="eastAsia"/>
          <w:sz w:val="24"/>
          <w:szCs w:val="24"/>
        </w:rPr>
        <w:t>1</w:t>
      </w:r>
      <w:r>
        <w:rPr>
          <w:rFonts w:ascii="宋体" w:hAnsi="宋体" w:cs="宋体" w:hint="eastAsia"/>
          <w:sz w:val="24"/>
          <w:szCs w:val="24"/>
        </w:rPr>
        <w:t>2</w:t>
      </w:r>
    </w:p>
    <w:tbl>
      <w:tblPr>
        <w:tblW w:w="906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7152"/>
      </w:tblGrid>
      <w:tr w:rsidR="00D5352E" w:rsidTr="001C67A3">
        <w:trPr>
          <w:jc w:val="center"/>
        </w:trPr>
        <w:tc>
          <w:tcPr>
            <w:tcW w:w="1915" w:type="dxa"/>
          </w:tcPr>
          <w:p w:rsidR="00D5352E" w:rsidRDefault="001C67A3">
            <w:pPr>
              <w:spacing w:line="480" w:lineRule="atLeast"/>
              <w:rPr>
                <w:rFonts w:ascii="宋体"/>
                <w:b/>
                <w:bCs/>
                <w:sz w:val="24"/>
                <w:szCs w:val="24"/>
              </w:rPr>
            </w:pPr>
            <w:r>
              <w:rPr>
                <w:rFonts w:ascii="宋体" w:hAnsi="宋体" w:cs="宋体" w:hint="eastAsia"/>
                <w:b/>
                <w:bCs/>
                <w:sz w:val="24"/>
                <w:szCs w:val="24"/>
              </w:rPr>
              <w:t>投资者关系活动类别</w:t>
            </w:r>
          </w:p>
          <w:p w:rsidR="00D5352E" w:rsidRDefault="00D5352E">
            <w:pPr>
              <w:spacing w:line="480" w:lineRule="atLeast"/>
              <w:rPr>
                <w:rFonts w:ascii="宋体"/>
                <w:b/>
                <w:bCs/>
                <w:sz w:val="24"/>
                <w:szCs w:val="24"/>
              </w:rPr>
            </w:pPr>
          </w:p>
        </w:tc>
        <w:tc>
          <w:tcPr>
            <w:tcW w:w="7152" w:type="dxa"/>
          </w:tcPr>
          <w:p w:rsidR="00D5352E" w:rsidRDefault="001C67A3">
            <w:pPr>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特定对象调研□分析师会议</w:t>
            </w:r>
          </w:p>
          <w:p w:rsidR="00D5352E" w:rsidRDefault="001C67A3">
            <w:pPr>
              <w:spacing w:line="480" w:lineRule="atLeast"/>
              <w:rPr>
                <w:rFonts w:ascii="宋体"/>
                <w:sz w:val="24"/>
                <w:szCs w:val="24"/>
              </w:rPr>
            </w:pPr>
            <w:r>
              <w:rPr>
                <w:rFonts w:ascii="宋体" w:hAnsi="宋体" w:cs="宋体" w:hint="eastAsia"/>
                <w:sz w:val="24"/>
                <w:szCs w:val="24"/>
              </w:rPr>
              <w:t>□媒体采访□业绩说明会</w:t>
            </w:r>
          </w:p>
          <w:p w:rsidR="00D5352E" w:rsidRDefault="001C67A3">
            <w:pPr>
              <w:spacing w:line="480" w:lineRule="atLeast"/>
              <w:rPr>
                <w:rFonts w:ascii="宋体"/>
                <w:sz w:val="24"/>
                <w:szCs w:val="24"/>
              </w:rPr>
            </w:pPr>
            <w:r>
              <w:rPr>
                <w:rFonts w:ascii="宋体" w:hAnsi="宋体" w:cs="宋体" w:hint="eastAsia"/>
                <w:sz w:val="24"/>
                <w:szCs w:val="24"/>
              </w:rPr>
              <w:t>□新闻发布会□路演活动</w:t>
            </w:r>
          </w:p>
          <w:p w:rsidR="00D5352E" w:rsidRDefault="001C67A3">
            <w:pPr>
              <w:tabs>
                <w:tab w:val="left" w:pos="3045"/>
                <w:tab w:val="center" w:pos="3199"/>
              </w:tabs>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现场参观</w:t>
            </w:r>
          </w:p>
          <w:p w:rsidR="00D5352E" w:rsidRDefault="001C67A3">
            <w:pPr>
              <w:tabs>
                <w:tab w:val="center" w:pos="3199"/>
              </w:tabs>
              <w:spacing w:line="480" w:lineRule="atLeast"/>
              <w:rPr>
                <w:rFonts w:ascii="宋体"/>
                <w:sz w:val="24"/>
                <w:szCs w:val="24"/>
              </w:rPr>
            </w:pPr>
            <w:r>
              <w:rPr>
                <w:rFonts w:ascii="宋体" w:hAnsi="宋体" w:cs="宋体" w:hint="eastAsia"/>
                <w:sz w:val="24"/>
                <w:szCs w:val="24"/>
              </w:rPr>
              <w:t>□其他（</w:t>
            </w:r>
            <w:r>
              <w:rPr>
                <w:rFonts w:ascii="宋体" w:hAnsi="宋体" w:cs="宋体" w:hint="eastAsia"/>
                <w:sz w:val="24"/>
                <w:szCs w:val="24"/>
                <w:u w:val="single"/>
              </w:rPr>
              <w:t>请文字说明其他活动内容）</w:t>
            </w:r>
          </w:p>
        </w:tc>
      </w:tr>
      <w:tr w:rsidR="00D5352E" w:rsidTr="001C67A3">
        <w:trPr>
          <w:jc w:val="center"/>
        </w:trPr>
        <w:tc>
          <w:tcPr>
            <w:tcW w:w="1915" w:type="dxa"/>
          </w:tcPr>
          <w:p w:rsidR="00D5352E" w:rsidRDefault="001C67A3">
            <w:pPr>
              <w:spacing w:line="480" w:lineRule="atLeast"/>
              <w:rPr>
                <w:rFonts w:ascii="宋体"/>
                <w:b/>
                <w:bCs/>
                <w:sz w:val="24"/>
                <w:szCs w:val="24"/>
              </w:rPr>
            </w:pPr>
            <w:r>
              <w:rPr>
                <w:rFonts w:ascii="宋体" w:hAnsi="宋体" w:cs="宋体" w:hint="eastAsia"/>
                <w:b/>
                <w:bCs/>
                <w:sz w:val="24"/>
                <w:szCs w:val="24"/>
              </w:rPr>
              <w:t>参与单位名称及人员姓名</w:t>
            </w:r>
          </w:p>
        </w:tc>
        <w:tc>
          <w:tcPr>
            <w:tcW w:w="7152" w:type="dxa"/>
            <w:vAlign w:val="center"/>
          </w:tcPr>
          <w:p w:rsidR="00D5352E" w:rsidRDefault="001C67A3">
            <w:pPr>
              <w:spacing w:line="480" w:lineRule="atLeast"/>
              <w:rPr>
                <w:rFonts w:ascii="宋体"/>
                <w:sz w:val="24"/>
                <w:szCs w:val="24"/>
              </w:rPr>
            </w:pPr>
            <w:r>
              <w:rPr>
                <w:rFonts w:ascii="宋体" w:hint="eastAsia"/>
                <w:sz w:val="24"/>
                <w:szCs w:val="24"/>
              </w:rPr>
              <w:t>海通证券</w:t>
            </w:r>
            <w:r w:rsidR="00E5522C">
              <w:rPr>
                <w:rFonts w:ascii="宋体" w:hint="eastAsia"/>
                <w:sz w:val="24"/>
                <w:szCs w:val="24"/>
              </w:rPr>
              <w:t xml:space="preserve">  </w:t>
            </w:r>
            <w:r>
              <w:rPr>
                <w:rFonts w:ascii="宋体" w:hint="eastAsia"/>
                <w:sz w:val="24"/>
                <w:szCs w:val="24"/>
              </w:rPr>
              <w:t>黄胜蓝</w:t>
            </w:r>
            <w:r w:rsidR="00E5522C">
              <w:rPr>
                <w:rFonts w:ascii="宋体" w:hint="eastAsia"/>
                <w:sz w:val="24"/>
                <w:szCs w:val="24"/>
              </w:rPr>
              <w:t>、</w:t>
            </w:r>
            <w:r>
              <w:rPr>
                <w:rFonts w:ascii="宋体" w:hint="eastAsia"/>
                <w:sz w:val="24"/>
                <w:szCs w:val="24"/>
              </w:rPr>
              <w:t>蒋俊</w:t>
            </w:r>
          </w:p>
          <w:p w:rsidR="00E5522C" w:rsidRDefault="00E5522C">
            <w:pPr>
              <w:spacing w:line="480" w:lineRule="atLeast"/>
              <w:rPr>
                <w:rFonts w:ascii="宋体" w:hint="eastAsia"/>
                <w:sz w:val="24"/>
                <w:szCs w:val="24"/>
              </w:rPr>
            </w:pPr>
            <w:r>
              <w:rPr>
                <w:rFonts w:ascii="宋体" w:hint="eastAsia"/>
                <w:sz w:val="24"/>
                <w:szCs w:val="24"/>
              </w:rPr>
              <w:t>域秀投资  邵喆阳</w:t>
            </w:r>
          </w:p>
          <w:p w:rsidR="004B1903" w:rsidRDefault="004B1903">
            <w:pPr>
              <w:spacing w:line="480" w:lineRule="atLeast"/>
              <w:rPr>
                <w:rFonts w:ascii="宋体" w:hint="eastAsia"/>
                <w:sz w:val="24"/>
                <w:szCs w:val="24"/>
              </w:rPr>
            </w:pPr>
            <w:r>
              <w:rPr>
                <w:rFonts w:ascii="宋体" w:hint="eastAsia"/>
                <w:sz w:val="24"/>
                <w:szCs w:val="24"/>
              </w:rPr>
              <w:t>上海标外投资  程兵</w:t>
            </w:r>
          </w:p>
          <w:p w:rsidR="00D5352E" w:rsidRDefault="001C67A3">
            <w:pPr>
              <w:spacing w:line="480" w:lineRule="atLeast"/>
              <w:rPr>
                <w:rFonts w:ascii="宋体"/>
                <w:sz w:val="24"/>
                <w:szCs w:val="24"/>
              </w:rPr>
            </w:pPr>
            <w:r>
              <w:rPr>
                <w:rFonts w:ascii="宋体" w:hint="eastAsia"/>
                <w:sz w:val="24"/>
                <w:szCs w:val="24"/>
              </w:rPr>
              <w:t>巨杉</w:t>
            </w:r>
            <w:r>
              <w:rPr>
                <w:rFonts w:ascii="宋体" w:hint="eastAsia"/>
                <w:sz w:val="24"/>
                <w:szCs w:val="24"/>
              </w:rPr>
              <w:t>资产</w:t>
            </w:r>
            <w:r w:rsidR="00E5522C">
              <w:rPr>
                <w:rFonts w:ascii="宋体" w:hint="eastAsia"/>
                <w:sz w:val="24"/>
                <w:szCs w:val="24"/>
              </w:rPr>
              <w:t xml:space="preserve"> </w:t>
            </w:r>
            <w:r>
              <w:rPr>
                <w:rFonts w:ascii="宋体" w:hint="eastAsia"/>
                <w:sz w:val="24"/>
                <w:szCs w:val="24"/>
              </w:rPr>
              <w:t xml:space="preserve"> </w:t>
            </w:r>
            <w:r>
              <w:rPr>
                <w:rFonts w:ascii="宋体" w:hint="eastAsia"/>
                <w:sz w:val="24"/>
                <w:szCs w:val="24"/>
              </w:rPr>
              <w:t>何亚东</w:t>
            </w:r>
          </w:p>
          <w:p w:rsidR="00D5352E" w:rsidRPr="004B1903" w:rsidRDefault="004B1903" w:rsidP="00E5522C">
            <w:pPr>
              <w:spacing w:line="480" w:lineRule="atLeast"/>
              <w:rPr>
                <w:rFonts w:ascii="宋体"/>
                <w:sz w:val="24"/>
                <w:szCs w:val="24"/>
              </w:rPr>
            </w:pPr>
            <w:r>
              <w:rPr>
                <w:rFonts w:ascii="宋体" w:hint="eastAsia"/>
                <w:sz w:val="24"/>
                <w:szCs w:val="24"/>
              </w:rPr>
              <w:t>上海名禹资产  赵千里</w:t>
            </w:r>
          </w:p>
        </w:tc>
      </w:tr>
      <w:tr w:rsidR="00D5352E" w:rsidTr="001C67A3">
        <w:trPr>
          <w:jc w:val="center"/>
        </w:trPr>
        <w:tc>
          <w:tcPr>
            <w:tcW w:w="1915" w:type="dxa"/>
          </w:tcPr>
          <w:p w:rsidR="00D5352E" w:rsidRDefault="001C67A3">
            <w:pPr>
              <w:spacing w:line="480" w:lineRule="atLeast"/>
              <w:rPr>
                <w:rFonts w:ascii="宋体"/>
                <w:b/>
                <w:bCs/>
                <w:sz w:val="24"/>
                <w:szCs w:val="24"/>
              </w:rPr>
            </w:pPr>
            <w:r>
              <w:rPr>
                <w:rFonts w:ascii="宋体" w:hAnsi="宋体" w:cs="宋体" w:hint="eastAsia"/>
                <w:b/>
                <w:bCs/>
                <w:sz w:val="24"/>
                <w:szCs w:val="24"/>
              </w:rPr>
              <w:t>时间</w:t>
            </w:r>
          </w:p>
        </w:tc>
        <w:tc>
          <w:tcPr>
            <w:tcW w:w="7152" w:type="dxa"/>
          </w:tcPr>
          <w:p w:rsidR="00D5352E" w:rsidRDefault="001C67A3">
            <w:pPr>
              <w:spacing w:line="480" w:lineRule="atLeast"/>
              <w:jc w:val="center"/>
              <w:rPr>
                <w:rFonts w:ascii="宋体"/>
                <w:sz w:val="24"/>
                <w:szCs w:val="24"/>
              </w:rPr>
            </w:pPr>
            <w:r>
              <w:rPr>
                <w:rFonts w:ascii="宋体" w:hAnsi="宋体" w:cs="宋体"/>
                <w:sz w:val="24"/>
                <w:szCs w:val="24"/>
              </w:rPr>
              <w:t>2016</w:t>
            </w:r>
            <w:r>
              <w:rPr>
                <w:rFonts w:ascii="宋体" w:hAnsi="宋体" w:cs="宋体" w:hint="eastAsia"/>
                <w:sz w:val="24"/>
                <w:szCs w:val="24"/>
              </w:rPr>
              <w:t>年</w:t>
            </w:r>
            <w:r>
              <w:rPr>
                <w:rFonts w:ascii="宋体" w:hAnsi="宋体" w:cs="宋体" w:hint="eastAsia"/>
                <w:sz w:val="24"/>
                <w:szCs w:val="24"/>
              </w:rPr>
              <w:t>7</w:t>
            </w:r>
            <w:r>
              <w:rPr>
                <w:rFonts w:ascii="宋体" w:hAnsi="宋体" w:cs="宋体" w:hint="eastAsia"/>
                <w:sz w:val="24"/>
                <w:szCs w:val="24"/>
              </w:rPr>
              <w:t>月</w:t>
            </w:r>
            <w:r>
              <w:rPr>
                <w:rFonts w:ascii="宋体" w:hAnsi="宋体" w:cs="宋体" w:hint="eastAsia"/>
                <w:sz w:val="24"/>
                <w:szCs w:val="24"/>
              </w:rPr>
              <w:t>6</w:t>
            </w:r>
            <w:r>
              <w:rPr>
                <w:rFonts w:ascii="宋体" w:hAnsi="宋体" w:cs="宋体" w:hint="eastAsia"/>
                <w:sz w:val="24"/>
                <w:szCs w:val="24"/>
              </w:rPr>
              <w:t>日</w:t>
            </w:r>
          </w:p>
        </w:tc>
      </w:tr>
      <w:tr w:rsidR="00D5352E" w:rsidTr="001C67A3">
        <w:trPr>
          <w:jc w:val="center"/>
        </w:trPr>
        <w:tc>
          <w:tcPr>
            <w:tcW w:w="1915" w:type="dxa"/>
          </w:tcPr>
          <w:p w:rsidR="00D5352E" w:rsidRDefault="001C67A3">
            <w:pPr>
              <w:spacing w:line="480" w:lineRule="atLeast"/>
              <w:rPr>
                <w:rFonts w:ascii="宋体"/>
                <w:b/>
                <w:bCs/>
                <w:sz w:val="24"/>
                <w:szCs w:val="24"/>
              </w:rPr>
            </w:pPr>
            <w:r>
              <w:rPr>
                <w:rFonts w:ascii="宋体" w:hAnsi="宋体" w:cs="宋体" w:hint="eastAsia"/>
                <w:b/>
                <w:bCs/>
                <w:sz w:val="24"/>
                <w:szCs w:val="24"/>
              </w:rPr>
              <w:t>地点</w:t>
            </w:r>
          </w:p>
        </w:tc>
        <w:tc>
          <w:tcPr>
            <w:tcW w:w="7152" w:type="dxa"/>
          </w:tcPr>
          <w:p w:rsidR="00D5352E" w:rsidRDefault="001C67A3">
            <w:pPr>
              <w:spacing w:line="480" w:lineRule="atLeast"/>
              <w:jc w:val="center"/>
              <w:rPr>
                <w:rFonts w:ascii="宋体"/>
                <w:sz w:val="24"/>
                <w:szCs w:val="24"/>
              </w:rPr>
            </w:pPr>
            <w:r>
              <w:rPr>
                <w:rFonts w:ascii="宋体" w:hAnsi="宋体" w:cs="宋体" w:hint="eastAsia"/>
                <w:sz w:val="24"/>
                <w:szCs w:val="24"/>
              </w:rPr>
              <w:t>公司证券部</w:t>
            </w:r>
          </w:p>
        </w:tc>
      </w:tr>
      <w:tr w:rsidR="00D5352E" w:rsidTr="001C67A3">
        <w:trPr>
          <w:jc w:val="center"/>
        </w:trPr>
        <w:tc>
          <w:tcPr>
            <w:tcW w:w="1915" w:type="dxa"/>
          </w:tcPr>
          <w:p w:rsidR="00D5352E" w:rsidRDefault="001C67A3">
            <w:pPr>
              <w:spacing w:line="480" w:lineRule="atLeast"/>
              <w:rPr>
                <w:rFonts w:ascii="宋体"/>
                <w:b/>
                <w:bCs/>
                <w:sz w:val="24"/>
                <w:szCs w:val="24"/>
              </w:rPr>
            </w:pPr>
            <w:r>
              <w:rPr>
                <w:rFonts w:ascii="宋体" w:hAnsi="宋体" w:cs="宋体" w:hint="eastAsia"/>
                <w:b/>
                <w:bCs/>
                <w:sz w:val="24"/>
                <w:szCs w:val="24"/>
              </w:rPr>
              <w:t>上市公司接待人员姓名</w:t>
            </w:r>
          </w:p>
        </w:tc>
        <w:tc>
          <w:tcPr>
            <w:tcW w:w="7152" w:type="dxa"/>
            <w:vAlign w:val="center"/>
          </w:tcPr>
          <w:p w:rsidR="002C0C43" w:rsidRDefault="001C67A3" w:rsidP="002C0C43">
            <w:pPr>
              <w:spacing w:line="480" w:lineRule="atLeast"/>
              <w:jc w:val="left"/>
              <w:rPr>
                <w:rFonts w:ascii="宋体" w:hint="eastAsia"/>
                <w:sz w:val="24"/>
                <w:szCs w:val="24"/>
              </w:rPr>
            </w:pPr>
            <w:r>
              <w:rPr>
                <w:rFonts w:ascii="宋体" w:hint="eastAsia"/>
                <w:sz w:val="24"/>
                <w:szCs w:val="24"/>
              </w:rPr>
              <w:t>财务经理</w:t>
            </w:r>
            <w:r>
              <w:rPr>
                <w:rFonts w:ascii="宋体" w:hint="eastAsia"/>
                <w:sz w:val="24"/>
                <w:szCs w:val="24"/>
              </w:rPr>
              <w:t xml:space="preserve"> </w:t>
            </w:r>
            <w:r w:rsidR="002C0C43">
              <w:rPr>
                <w:rFonts w:ascii="宋体" w:hint="eastAsia"/>
                <w:sz w:val="24"/>
                <w:szCs w:val="24"/>
              </w:rPr>
              <w:t xml:space="preserve"> </w:t>
            </w:r>
            <w:r>
              <w:rPr>
                <w:rFonts w:ascii="宋体" w:hint="eastAsia"/>
                <w:sz w:val="24"/>
                <w:szCs w:val="24"/>
              </w:rPr>
              <w:t>吴昌国</w:t>
            </w:r>
          </w:p>
          <w:p w:rsidR="00D5352E" w:rsidRDefault="001C67A3" w:rsidP="002C0C43">
            <w:pPr>
              <w:spacing w:line="480" w:lineRule="atLeast"/>
              <w:jc w:val="left"/>
              <w:rPr>
                <w:rFonts w:ascii="宋体"/>
                <w:sz w:val="24"/>
                <w:szCs w:val="24"/>
              </w:rPr>
            </w:pPr>
            <w:r>
              <w:rPr>
                <w:rFonts w:ascii="宋体" w:hint="eastAsia"/>
                <w:sz w:val="24"/>
                <w:szCs w:val="24"/>
              </w:rPr>
              <w:t>证券代表</w:t>
            </w:r>
            <w:r>
              <w:rPr>
                <w:rFonts w:ascii="宋体" w:hint="eastAsia"/>
                <w:sz w:val="24"/>
                <w:szCs w:val="24"/>
              </w:rPr>
              <w:t xml:space="preserve">  </w:t>
            </w:r>
            <w:r>
              <w:rPr>
                <w:rFonts w:ascii="宋体" w:hint="eastAsia"/>
                <w:sz w:val="24"/>
                <w:szCs w:val="24"/>
              </w:rPr>
              <w:t>武振生</w:t>
            </w:r>
          </w:p>
        </w:tc>
      </w:tr>
      <w:tr w:rsidR="00D5352E" w:rsidTr="001C67A3">
        <w:trPr>
          <w:trHeight w:val="1757"/>
          <w:jc w:val="center"/>
        </w:trPr>
        <w:tc>
          <w:tcPr>
            <w:tcW w:w="1915" w:type="dxa"/>
            <w:vAlign w:val="center"/>
          </w:tcPr>
          <w:p w:rsidR="00D5352E" w:rsidRDefault="001C67A3">
            <w:pPr>
              <w:spacing w:line="480" w:lineRule="atLeast"/>
              <w:rPr>
                <w:rFonts w:ascii="宋体"/>
                <w:b/>
                <w:bCs/>
                <w:sz w:val="24"/>
                <w:szCs w:val="24"/>
              </w:rPr>
            </w:pPr>
            <w:r>
              <w:rPr>
                <w:rFonts w:ascii="宋体" w:hAnsi="宋体" w:cs="宋体" w:hint="eastAsia"/>
                <w:b/>
                <w:bCs/>
                <w:sz w:val="24"/>
                <w:szCs w:val="24"/>
              </w:rPr>
              <w:t>投资者关系活动主要内容介绍</w:t>
            </w:r>
          </w:p>
          <w:p w:rsidR="00D5352E" w:rsidRDefault="00D5352E">
            <w:pPr>
              <w:spacing w:line="480" w:lineRule="atLeast"/>
              <w:rPr>
                <w:rFonts w:ascii="宋体"/>
                <w:b/>
                <w:bCs/>
                <w:sz w:val="24"/>
                <w:szCs w:val="24"/>
              </w:rPr>
            </w:pPr>
          </w:p>
        </w:tc>
        <w:tc>
          <w:tcPr>
            <w:tcW w:w="7152" w:type="dxa"/>
          </w:tcPr>
          <w:p w:rsidR="00D5352E" w:rsidRDefault="001C67A3" w:rsidP="00E5522C">
            <w:pPr>
              <w:spacing w:beforeLines="50" w:afterLines="50" w:line="360" w:lineRule="auto"/>
              <w:rPr>
                <w:sz w:val="24"/>
                <w:szCs w:val="24"/>
              </w:rPr>
            </w:pPr>
            <w:r>
              <w:rPr>
                <w:rFonts w:cs="宋体" w:hint="eastAsia"/>
                <w:sz w:val="24"/>
                <w:szCs w:val="24"/>
              </w:rPr>
              <w:t>本次投资者关系活动，主要以现场参观公司生产车间及会议室座谈方式进行，主要内容如下：</w:t>
            </w:r>
          </w:p>
          <w:p w:rsidR="00D5352E" w:rsidRDefault="001C67A3" w:rsidP="00E5522C">
            <w:pPr>
              <w:spacing w:beforeLines="50" w:afterLines="50" w:line="360" w:lineRule="auto"/>
              <w:rPr>
                <w:sz w:val="24"/>
                <w:szCs w:val="24"/>
              </w:rPr>
            </w:pPr>
            <w:r>
              <w:rPr>
                <w:rFonts w:cs="宋体" w:hint="eastAsia"/>
                <w:sz w:val="24"/>
                <w:szCs w:val="24"/>
              </w:rPr>
              <w:t>一、公司化工新材料产品及行业情况？</w:t>
            </w:r>
          </w:p>
          <w:p w:rsidR="00D5352E" w:rsidRDefault="001C67A3" w:rsidP="00E5522C">
            <w:pPr>
              <w:spacing w:beforeLines="50" w:afterLines="50" w:line="360" w:lineRule="auto"/>
              <w:ind w:firstLine="480"/>
              <w:rPr>
                <w:sz w:val="24"/>
                <w:szCs w:val="24"/>
              </w:rPr>
            </w:pPr>
            <w:r>
              <w:rPr>
                <w:rFonts w:cs="宋体" w:hint="eastAsia"/>
                <w:sz w:val="24"/>
                <w:szCs w:val="24"/>
              </w:rPr>
              <w:t>公司化工新材料产品聚酯树脂主要分为户外型和混合型，户外型主要应用在室外金属器材，包括家电、建材、汽车、农机、工程机械、高速护栏等领域，具有抗腐蚀、耐老化等优越性能，混合型主要应用在户内金属表面，包括家电、电子产品等领域，具备流平性好、装饰性能优越等优点。公司主要客户为阿克苏</w:t>
            </w:r>
            <w:r>
              <w:rPr>
                <w:rFonts w:ascii="宋体" w:hAnsi="宋体" w:cs="宋体" w:hint="eastAsia"/>
                <w:sz w:val="24"/>
                <w:szCs w:val="24"/>
              </w:rPr>
              <w:t>•</w:t>
            </w:r>
            <w:r>
              <w:rPr>
                <w:rFonts w:cs="宋体" w:hint="eastAsia"/>
                <w:sz w:val="24"/>
                <w:szCs w:val="24"/>
              </w:rPr>
              <w:t>诺贝尔、艾仕德、海尔、格力等国内外知名粉末涂料企业。</w:t>
            </w:r>
          </w:p>
          <w:p w:rsidR="00D5352E" w:rsidRDefault="001C67A3" w:rsidP="00E5522C">
            <w:pPr>
              <w:spacing w:beforeLines="50" w:afterLines="50" w:line="360" w:lineRule="auto"/>
              <w:ind w:firstLine="480"/>
              <w:rPr>
                <w:sz w:val="24"/>
              </w:rPr>
            </w:pPr>
            <w:r>
              <w:rPr>
                <w:rFonts w:hint="eastAsia"/>
                <w:sz w:val="24"/>
              </w:rPr>
              <w:lastRenderedPageBreak/>
              <w:t>公司产品毛利率逐渐提升主要来源于公司进一步整合客户结构，提升销售管理效率；另一方面是原材料价格的下降带来毛利有所提升。</w:t>
            </w:r>
          </w:p>
          <w:p w:rsidR="00D5352E" w:rsidRDefault="001C67A3" w:rsidP="00E5522C">
            <w:pPr>
              <w:spacing w:beforeLines="50" w:afterLines="50" w:line="360" w:lineRule="auto"/>
              <w:ind w:firstLine="480"/>
              <w:rPr>
                <w:rFonts w:hint="eastAsia"/>
                <w:sz w:val="24"/>
              </w:rPr>
            </w:pPr>
            <w:r>
              <w:rPr>
                <w:rFonts w:hint="eastAsia"/>
                <w:sz w:val="24"/>
              </w:rPr>
              <w:t>预计国内聚酯树脂市场将保持低速增长，价格稳定。目前定价原则为成本加成，原材料上涨预计毛利率会略降。</w:t>
            </w:r>
          </w:p>
          <w:p w:rsidR="001C67A3" w:rsidRDefault="001C67A3" w:rsidP="001C67A3">
            <w:pPr>
              <w:spacing w:beforeLines="50" w:afterLines="50" w:line="360" w:lineRule="auto"/>
              <w:rPr>
                <w:sz w:val="24"/>
                <w:szCs w:val="24"/>
              </w:rPr>
            </w:pPr>
            <w:r>
              <w:rPr>
                <w:rFonts w:cs="宋体" w:hint="eastAsia"/>
                <w:sz w:val="24"/>
                <w:szCs w:val="24"/>
              </w:rPr>
              <w:t>二、嘉业公司的业务情况及发展情况</w:t>
            </w:r>
          </w:p>
          <w:p w:rsidR="001C67A3" w:rsidRDefault="001C67A3" w:rsidP="001C67A3">
            <w:pPr>
              <w:spacing w:beforeLines="50" w:afterLines="50" w:line="360" w:lineRule="auto"/>
              <w:ind w:firstLine="480"/>
              <w:rPr>
                <w:rFonts w:cs="宋体"/>
                <w:sz w:val="24"/>
                <w:szCs w:val="24"/>
              </w:rPr>
            </w:pPr>
            <w:r>
              <w:rPr>
                <w:rFonts w:cs="宋体" w:hint="eastAsia"/>
                <w:sz w:val="24"/>
                <w:szCs w:val="24"/>
              </w:rPr>
              <w:t>公司子公司西安嘉业公司主要为航空、航天及轨道交通（高铁、地铁）行业提供工装、结构件以及总成产品，具有军方三级保密资质，与西飞集团、上飞集团、沈飞集团、陕飞集团、唐山客车、长春客车等国内知名航空航天及轨道交通企业在内的一批核心客户密切合作，主要产品涉及航空航天工装模具制造、部分零部件生产制造（主要依托于公司前期积累的新技术及新工艺</w:t>
            </w:r>
            <w:r>
              <w:rPr>
                <w:rFonts w:cs="宋体" w:hint="eastAsia"/>
                <w:sz w:val="24"/>
                <w:szCs w:val="24"/>
              </w:rPr>
              <w:t>--</w:t>
            </w:r>
            <w:r>
              <w:rPr>
                <w:rFonts w:cs="宋体" w:hint="eastAsia"/>
                <w:sz w:val="24"/>
                <w:szCs w:val="24"/>
              </w:rPr>
              <w:t>内高压充液成型技术、粉末热等静压成型技术、</w:t>
            </w:r>
            <w:r>
              <w:rPr>
                <w:rFonts w:cs="宋体" w:hint="eastAsia"/>
                <w:sz w:val="24"/>
                <w:szCs w:val="24"/>
              </w:rPr>
              <w:t>3D</w:t>
            </w:r>
            <w:r>
              <w:rPr>
                <w:rFonts w:cs="宋体" w:hint="eastAsia"/>
                <w:sz w:val="24"/>
                <w:szCs w:val="24"/>
              </w:rPr>
              <w:t>打印技术等）、轨交板块的高铁车头结构件、符合材料墙板制造和城市轨道胶套列车中的逃生系统的设计生产制造。</w:t>
            </w:r>
            <w:r>
              <w:rPr>
                <w:rFonts w:cs="宋体" w:hint="eastAsia"/>
                <w:sz w:val="24"/>
                <w:szCs w:val="24"/>
              </w:rPr>
              <w:t>2015</w:t>
            </w:r>
            <w:r>
              <w:rPr>
                <w:rFonts w:cs="宋体" w:hint="eastAsia"/>
                <w:sz w:val="24"/>
                <w:szCs w:val="24"/>
              </w:rPr>
              <w:t>承诺业绩为扣非后净利润</w:t>
            </w:r>
            <w:r>
              <w:rPr>
                <w:rFonts w:cs="宋体" w:hint="eastAsia"/>
                <w:sz w:val="24"/>
                <w:szCs w:val="24"/>
              </w:rPr>
              <w:t>3150</w:t>
            </w:r>
            <w:r>
              <w:rPr>
                <w:rFonts w:cs="宋体" w:hint="eastAsia"/>
                <w:sz w:val="24"/>
                <w:szCs w:val="24"/>
              </w:rPr>
              <w:t>万元，已完成。</w:t>
            </w:r>
            <w:r>
              <w:rPr>
                <w:rFonts w:cs="宋体" w:hint="eastAsia"/>
                <w:sz w:val="24"/>
                <w:szCs w:val="24"/>
              </w:rPr>
              <w:t>2016</w:t>
            </w:r>
            <w:r>
              <w:rPr>
                <w:rFonts w:cs="宋体" w:hint="eastAsia"/>
                <w:sz w:val="24"/>
                <w:szCs w:val="24"/>
              </w:rPr>
              <w:t>、</w:t>
            </w:r>
            <w:r>
              <w:rPr>
                <w:rFonts w:cs="宋体" w:hint="eastAsia"/>
                <w:sz w:val="24"/>
                <w:szCs w:val="24"/>
              </w:rPr>
              <w:t>2017</w:t>
            </w:r>
            <w:r>
              <w:rPr>
                <w:rFonts w:cs="宋体" w:hint="eastAsia"/>
                <w:sz w:val="24"/>
                <w:szCs w:val="24"/>
              </w:rPr>
              <w:t>年业绩承诺分别为</w:t>
            </w:r>
            <w:r>
              <w:rPr>
                <w:rFonts w:cs="宋体" w:hint="eastAsia"/>
                <w:sz w:val="24"/>
                <w:szCs w:val="24"/>
              </w:rPr>
              <w:t>4100</w:t>
            </w:r>
            <w:r>
              <w:rPr>
                <w:rFonts w:cs="宋体" w:hint="eastAsia"/>
                <w:sz w:val="24"/>
                <w:szCs w:val="24"/>
              </w:rPr>
              <w:t>万元和</w:t>
            </w:r>
            <w:r>
              <w:rPr>
                <w:rFonts w:cs="宋体" w:hint="eastAsia"/>
                <w:sz w:val="24"/>
                <w:szCs w:val="24"/>
              </w:rPr>
              <w:t>5100</w:t>
            </w:r>
            <w:r>
              <w:rPr>
                <w:rFonts w:cs="宋体" w:hint="eastAsia"/>
                <w:sz w:val="24"/>
                <w:szCs w:val="24"/>
              </w:rPr>
              <w:t>万元，以公司目前在产产品及生产状况来看，今年完成业绩承诺我们是有信心的。</w:t>
            </w:r>
          </w:p>
          <w:p w:rsidR="00D5352E" w:rsidRDefault="001C67A3">
            <w:pPr>
              <w:spacing w:line="480" w:lineRule="atLeast"/>
              <w:ind w:firstLineChars="200" w:firstLine="480"/>
              <w:rPr>
                <w:rFonts w:ascii="宋体" w:hAnsi="宋体" w:cs="宋体"/>
                <w:kern w:val="0"/>
                <w:sz w:val="24"/>
                <w:szCs w:val="24"/>
              </w:rPr>
            </w:pPr>
            <w:r>
              <w:rPr>
                <w:rFonts w:ascii="宋体" w:hAnsi="宋体" w:cs="宋体" w:hint="eastAsia"/>
                <w:sz w:val="24"/>
                <w:szCs w:val="24"/>
              </w:rPr>
              <w:t>公司并购嘉业公司，主要还是对未来中国航空航天领域发展空间看好，嘉业公司自身资质不错，公司也会进一步加大对其投入。</w:t>
            </w:r>
          </w:p>
          <w:p w:rsidR="001C67A3" w:rsidRDefault="001C67A3" w:rsidP="001C67A3">
            <w:pPr>
              <w:spacing w:beforeLines="50" w:afterLines="50" w:line="360" w:lineRule="auto"/>
              <w:rPr>
                <w:sz w:val="24"/>
                <w:szCs w:val="24"/>
              </w:rPr>
            </w:pPr>
            <w:r>
              <w:rPr>
                <w:rFonts w:cs="宋体" w:hint="eastAsia"/>
                <w:sz w:val="24"/>
                <w:szCs w:val="24"/>
              </w:rPr>
              <w:t>三、行业及未来发展</w:t>
            </w:r>
          </w:p>
          <w:p w:rsidR="001C67A3" w:rsidRDefault="001C67A3" w:rsidP="001C67A3">
            <w:pPr>
              <w:spacing w:beforeLines="50" w:afterLines="50" w:line="360" w:lineRule="auto"/>
              <w:ind w:firstLineChars="200" w:firstLine="480"/>
              <w:rPr>
                <w:sz w:val="24"/>
                <w:szCs w:val="24"/>
              </w:rPr>
            </w:pPr>
            <w:r>
              <w:rPr>
                <w:rFonts w:cs="宋体" w:hint="eastAsia"/>
                <w:sz w:val="24"/>
                <w:szCs w:val="24"/>
              </w:rPr>
              <w:t>受国内外经济环境及化工材料价格低位影响，目前行业竞争依然严峻，公司化工新材料领域近年来保持稳中有增，</w:t>
            </w:r>
            <w:r>
              <w:rPr>
                <w:sz w:val="24"/>
                <w:szCs w:val="24"/>
              </w:rPr>
              <w:t>2016</w:t>
            </w:r>
            <w:r>
              <w:rPr>
                <w:rFonts w:cs="宋体" w:hint="eastAsia"/>
                <w:sz w:val="24"/>
                <w:szCs w:val="24"/>
              </w:rPr>
              <w:t>年度公司化工新材料领域预计仍然保持稳中有增的趋势。</w:t>
            </w:r>
          </w:p>
          <w:p w:rsidR="00D5352E" w:rsidRDefault="001C67A3" w:rsidP="001C67A3">
            <w:pPr>
              <w:spacing w:beforeLines="50" w:afterLines="50" w:line="360" w:lineRule="auto"/>
              <w:ind w:firstLineChars="200" w:firstLine="480"/>
              <w:rPr>
                <w:sz w:val="24"/>
                <w:szCs w:val="24"/>
              </w:rPr>
            </w:pPr>
            <w:r>
              <w:rPr>
                <w:rFonts w:cs="宋体" w:hint="eastAsia"/>
                <w:sz w:val="24"/>
                <w:szCs w:val="24"/>
              </w:rPr>
              <w:t>嘉业航空经营情况稳定，目前业务重点还是加强其自身主业的发展。</w:t>
            </w:r>
          </w:p>
        </w:tc>
      </w:tr>
    </w:tbl>
    <w:p w:rsidR="00D5352E" w:rsidRDefault="00D5352E">
      <w:pPr>
        <w:widowControl/>
        <w:jc w:val="left"/>
      </w:pPr>
    </w:p>
    <w:sectPr w:rsidR="00D5352E" w:rsidSect="00D5352E">
      <w:pgSz w:w="11906" w:h="16838"/>
      <w:pgMar w:top="1276"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FB47A8B"/>
    <w:rsid w:val="00081436"/>
    <w:rsid w:val="00090818"/>
    <w:rsid w:val="000C14A1"/>
    <w:rsid w:val="001C67A3"/>
    <w:rsid w:val="001D74D1"/>
    <w:rsid w:val="001E61B6"/>
    <w:rsid w:val="002112B9"/>
    <w:rsid w:val="002215A2"/>
    <w:rsid w:val="0028059E"/>
    <w:rsid w:val="002C0C43"/>
    <w:rsid w:val="003260CD"/>
    <w:rsid w:val="00430BF2"/>
    <w:rsid w:val="004928EB"/>
    <w:rsid w:val="004B1903"/>
    <w:rsid w:val="00506473"/>
    <w:rsid w:val="005A6BA0"/>
    <w:rsid w:val="005E2CC0"/>
    <w:rsid w:val="005F1D3B"/>
    <w:rsid w:val="0060267B"/>
    <w:rsid w:val="0061150F"/>
    <w:rsid w:val="006860B9"/>
    <w:rsid w:val="007663D9"/>
    <w:rsid w:val="007937EA"/>
    <w:rsid w:val="008A6EC4"/>
    <w:rsid w:val="008D0866"/>
    <w:rsid w:val="00A05E8A"/>
    <w:rsid w:val="00A51549"/>
    <w:rsid w:val="00B02832"/>
    <w:rsid w:val="00B50FD7"/>
    <w:rsid w:val="00B557C1"/>
    <w:rsid w:val="00BB3ED4"/>
    <w:rsid w:val="00CB2E1F"/>
    <w:rsid w:val="00CD6CDE"/>
    <w:rsid w:val="00CF27F0"/>
    <w:rsid w:val="00D5352E"/>
    <w:rsid w:val="00D86D2B"/>
    <w:rsid w:val="00DA32B2"/>
    <w:rsid w:val="00DB3090"/>
    <w:rsid w:val="00E5522C"/>
    <w:rsid w:val="00E65BB4"/>
    <w:rsid w:val="00EC4439"/>
    <w:rsid w:val="00F06BC7"/>
    <w:rsid w:val="00FD1A82"/>
    <w:rsid w:val="00FE095D"/>
    <w:rsid w:val="06520DCB"/>
    <w:rsid w:val="228059E8"/>
    <w:rsid w:val="22983C94"/>
    <w:rsid w:val="2DF21006"/>
    <w:rsid w:val="4A197C85"/>
    <w:rsid w:val="54795D71"/>
    <w:rsid w:val="579058D3"/>
    <w:rsid w:val="60501B74"/>
    <w:rsid w:val="617F5CC5"/>
    <w:rsid w:val="7CB24164"/>
    <w:rsid w:val="7FB47A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52E"/>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uiPriority w:val="99"/>
    <w:unhideWhenUsed/>
    <w:rsid w:val="00D5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172</Words>
  <Characters>986</Characters>
  <Application>Microsoft Office Word</Application>
  <DocSecurity>0</DocSecurity>
  <Lines>8</Lines>
  <Paragraphs>2</Paragraphs>
  <ScaleCrop>false</ScaleCrop>
  <Company>WwW.YlmF.CoM</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26</cp:revision>
  <dcterms:created xsi:type="dcterms:W3CDTF">2016-04-22T05:38:00Z</dcterms:created>
  <dcterms:modified xsi:type="dcterms:W3CDTF">2016-07-06T07:52:00Z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