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50" w:line="400" w:lineRule="exact"/>
        <w:ind w:firstLine="720" w:firstLineChars="300"/>
        <w:rPr>
          <w:rFonts w:ascii="宋体"/>
          <w:color w:val="000000"/>
          <w:sz w:val="24"/>
          <w:szCs w:val="24"/>
        </w:rPr>
      </w:pPr>
      <w:r>
        <w:rPr>
          <w:rFonts w:hint="eastAsia" w:ascii="宋体" w:hAnsi="宋体" w:cs="宋体"/>
          <w:color w:val="000000"/>
          <w:sz w:val="24"/>
          <w:szCs w:val="24"/>
        </w:rPr>
        <w:t>证券代码：</w:t>
      </w:r>
      <w:r>
        <w:rPr>
          <w:rFonts w:ascii="宋体" w:hAnsi="宋体" w:cs="宋体"/>
          <w:color w:val="000000"/>
          <w:sz w:val="24"/>
          <w:szCs w:val="24"/>
        </w:rPr>
        <w:t xml:space="preserve">002361                       </w:t>
      </w:r>
      <w:r>
        <w:rPr>
          <w:rFonts w:hint="eastAsia" w:ascii="宋体" w:hAnsi="宋体" w:cs="宋体"/>
          <w:color w:val="000000"/>
          <w:sz w:val="24"/>
          <w:szCs w:val="24"/>
        </w:rPr>
        <w:t>证券简称：神剑股份</w:t>
      </w:r>
    </w:p>
    <w:p>
      <w:pPr>
        <w:spacing w:beforeLines="50" w:afterLines="50" w:line="400" w:lineRule="exact"/>
        <w:jc w:val="center"/>
        <w:rPr>
          <w:rFonts w:ascii="宋体"/>
          <w:b/>
          <w:bCs/>
          <w:color w:val="000000"/>
          <w:sz w:val="32"/>
          <w:szCs w:val="32"/>
        </w:rPr>
      </w:pPr>
      <w:r>
        <w:rPr>
          <w:rFonts w:hint="eastAsia" w:ascii="宋体" w:hAnsi="宋体" w:cs="宋体"/>
          <w:b/>
          <w:bCs/>
          <w:color w:val="000000"/>
          <w:sz w:val="32"/>
          <w:szCs w:val="32"/>
        </w:rPr>
        <w:t>安徽神剑新材料股份有限公司</w:t>
      </w:r>
    </w:p>
    <w:p>
      <w:pPr>
        <w:spacing w:beforeLines="50" w:afterLines="50" w:line="400" w:lineRule="exact"/>
        <w:jc w:val="center"/>
        <w:rPr>
          <w:rFonts w:ascii="宋体"/>
          <w:b/>
          <w:bCs/>
          <w:sz w:val="24"/>
          <w:szCs w:val="24"/>
        </w:rPr>
      </w:pPr>
      <w:r>
        <w:rPr>
          <w:rFonts w:hint="eastAsia" w:ascii="宋体" w:hAnsi="宋体" w:cs="宋体"/>
          <w:b/>
          <w:bCs/>
          <w:sz w:val="24"/>
          <w:szCs w:val="24"/>
        </w:rPr>
        <w:t>投资者关系活动记录表</w:t>
      </w:r>
    </w:p>
    <w:p>
      <w:pPr>
        <w:spacing w:line="400" w:lineRule="exact"/>
        <w:rPr>
          <w:rFonts w:ascii="宋体"/>
          <w:sz w:val="24"/>
          <w:szCs w:val="24"/>
        </w:rPr>
      </w:pPr>
      <w:r>
        <w:rPr>
          <w:rFonts w:hint="eastAsia" w:ascii="宋体" w:hAnsi="宋体" w:cs="宋体"/>
          <w:sz w:val="24"/>
          <w:szCs w:val="24"/>
        </w:rPr>
        <w:t>编号：</w:t>
      </w:r>
      <w:r>
        <w:rPr>
          <w:rFonts w:ascii="宋体" w:hAnsi="宋体" w:cs="宋体"/>
          <w:sz w:val="24"/>
          <w:szCs w:val="24"/>
        </w:rPr>
        <w:t>2016-</w:t>
      </w:r>
      <w:r>
        <w:rPr>
          <w:rFonts w:hint="eastAsia" w:ascii="宋体" w:hAnsi="宋体" w:cs="宋体"/>
          <w:sz w:val="24"/>
          <w:szCs w:val="24"/>
        </w:rPr>
        <w:t>013</w:t>
      </w:r>
    </w:p>
    <w:tbl>
      <w:tblPr>
        <w:tblStyle w:val="5"/>
        <w:tblW w:w="8861"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投资者关系活动类别</w:t>
            </w:r>
          </w:p>
          <w:p>
            <w:pPr>
              <w:spacing w:line="480" w:lineRule="atLeast"/>
              <w:rPr>
                <w:rFonts w:ascii="宋体"/>
                <w:b/>
                <w:bCs/>
                <w:sz w:val="24"/>
                <w:szCs w:val="24"/>
              </w:rPr>
            </w:pPr>
          </w:p>
        </w:tc>
        <w:tc>
          <w:tcPr>
            <w:tcW w:w="6946" w:type="dxa"/>
          </w:tcPr>
          <w:p>
            <w:pPr>
              <w:spacing w:line="480" w:lineRule="atLeast"/>
              <w:rPr>
                <w:rFonts w:ascii="宋体"/>
                <w:sz w:val="24"/>
                <w:szCs w:val="24"/>
              </w:rPr>
            </w:pPr>
            <w:r>
              <w:rPr>
                <w:rFonts w:hint="eastAsia" w:ascii="仿宋_GB2312" w:hAnsi="仿宋_GB2312" w:eastAsia="仿宋_GB2312" w:cs="仿宋_GB2312"/>
                <w:sz w:val="24"/>
                <w:szCs w:val="24"/>
              </w:rPr>
              <w:t>■</w:t>
            </w:r>
            <w:r>
              <w:rPr>
                <w:rFonts w:hint="eastAsia" w:ascii="宋体" w:hAnsi="宋体" w:cs="宋体"/>
                <w:sz w:val="24"/>
                <w:szCs w:val="24"/>
              </w:rPr>
              <w:t>特定对象调研□分析师会议</w:t>
            </w:r>
          </w:p>
          <w:p>
            <w:pPr>
              <w:spacing w:line="480" w:lineRule="atLeast"/>
              <w:rPr>
                <w:rFonts w:ascii="宋体"/>
                <w:sz w:val="24"/>
                <w:szCs w:val="24"/>
              </w:rPr>
            </w:pPr>
            <w:r>
              <w:rPr>
                <w:rFonts w:hint="eastAsia" w:ascii="宋体" w:hAnsi="宋体" w:cs="宋体"/>
                <w:sz w:val="24"/>
                <w:szCs w:val="24"/>
              </w:rPr>
              <w:t>□媒体采访□业绩说明会</w:t>
            </w:r>
          </w:p>
          <w:p>
            <w:pPr>
              <w:spacing w:line="480" w:lineRule="atLeast"/>
              <w:rPr>
                <w:rFonts w:ascii="宋体"/>
                <w:sz w:val="24"/>
                <w:szCs w:val="24"/>
              </w:rPr>
            </w:pPr>
            <w:r>
              <w:rPr>
                <w:rFonts w:hint="eastAsia" w:ascii="宋体" w:hAnsi="宋体" w:cs="宋体"/>
                <w:sz w:val="24"/>
                <w:szCs w:val="24"/>
              </w:rPr>
              <w:t>□新闻发布会□路演活动</w:t>
            </w:r>
          </w:p>
          <w:p>
            <w:pPr>
              <w:tabs>
                <w:tab w:val="left" w:pos="3045"/>
                <w:tab w:val="center" w:pos="3199"/>
              </w:tabs>
              <w:spacing w:line="480" w:lineRule="atLeast"/>
              <w:rPr>
                <w:rFonts w:ascii="宋体"/>
                <w:sz w:val="24"/>
                <w:szCs w:val="24"/>
              </w:rPr>
            </w:pPr>
            <w:r>
              <w:rPr>
                <w:rFonts w:hint="eastAsia" w:ascii="仿宋_GB2312" w:hAnsi="仿宋_GB2312" w:eastAsia="仿宋_GB2312" w:cs="仿宋_GB2312"/>
                <w:sz w:val="24"/>
                <w:szCs w:val="24"/>
              </w:rPr>
              <w:t>■</w:t>
            </w:r>
            <w:r>
              <w:rPr>
                <w:rFonts w:hint="eastAsia" w:ascii="宋体" w:hAnsi="宋体" w:cs="宋体"/>
                <w:sz w:val="24"/>
                <w:szCs w:val="24"/>
              </w:rPr>
              <w:t>现场参观</w:t>
            </w:r>
            <w:r>
              <w:rPr>
                <w:rFonts w:ascii="宋体"/>
                <w:sz w:val="24"/>
                <w:szCs w:val="24"/>
              </w:rPr>
              <w:tab/>
            </w:r>
          </w:p>
          <w:p>
            <w:pPr>
              <w:tabs>
                <w:tab w:val="center" w:pos="3199"/>
              </w:tabs>
              <w:spacing w:line="480" w:lineRule="atLeast"/>
              <w:rPr>
                <w:rFonts w:ascii="宋体"/>
                <w:sz w:val="24"/>
                <w:szCs w:val="24"/>
              </w:rPr>
            </w:pPr>
            <w:r>
              <w:rPr>
                <w:rFonts w:hint="eastAsia" w:ascii="宋体" w:hAnsi="宋体" w:cs="宋体"/>
                <w:sz w:val="24"/>
                <w:szCs w:val="24"/>
              </w:rPr>
              <w:t>□其他（</w:t>
            </w:r>
            <w:r>
              <w:rPr>
                <w:rFonts w:hint="eastAsia" w:ascii="宋体" w:hAnsi="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参与单位名称及人员姓名</w:t>
            </w:r>
          </w:p>
        </w:tc>
        <w:tc>
          <w:tcPr>
            <w:tcW w:w="6946" w:type="dxa"/>
          </w:tcPr>
          <w:p>
            <w:pPr>
              <w:spacing w:line="480" w:lineRule="atLeast"/>
              <w:jc w:val="left"/>
              <w:rPr>
                <w:rFonts w:ascii="宋体"/>
                <w:sz w:val="24"/>
                <w:szCs w:val="24"/>
              </w:rPr>
            </w:pPr>
            <w:r>
              <w:rPr>
                <w:rFonts w:hint="eastAsia" w:ascii="宋体"/>
                <w:sz w:val="24"/>
                <w:szCs w:val="24"/>
              </w:rPr>
              <w:t>长城证券 王习</w:t>
            </w:r>
          </w:p>
          <w:p>
            <w:pPr>
              <w:spacing w:line="480" w:lineRule="atLeast"/>
              <w:jc w:val="left"/>
              <w:rPr>
                <w:rFonts w:ascii="宋体"/>
                <w:sz w:val="24"/>
                <w:szCs w:val="24"/>
              </w:rPr>
            </w:pPr>
            <w:r>
              <w:rPr>
                <w:rFonts w:hint="eastAsia" w:ascii="宋体"/>
                <w:sz w:val="24"/>
                <w:szCs w:val="24"/>
              </w:rPr>
              <w:t>东北证券 何静</w:t>
            </w:r>
          </w:p>
          <w:p>
            <w:pPr>
              <w:spacing w:line="480" w:lineRule="atLeast"/>
              <w:jc w:val="left"/>
              <w:rPr>
                <w:rFonts w:ascii="宋体"/>
                <w:sz w:val="24"/>
                <w:szCs w:val="24"/>
              </w:rPr>
            </w:pPr>
            <w:r>
              <w:rPr>
                <w:rFonts w:hint="eastAsia" w:ascii="宋体"/>
                <w:sz w:val="24"/>
                <w:szCs w:val="24"/>
              </w:rPr>
              <w:t>上海雷钧资产管理有限公司 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时间</w:t>
            </w:r>
          </w:p>
        </w:tc>
        <w:tc>
          <w:tcPr>
            <w:tcW w:w="6946" w:type="dxa"/>
          </w:tcPr>
          <w:p>
            <w:pPr>
              <w:spacing w:line="480" w:lineRule="atLeast"/>
              <w:jc w:val="center"/>
              <w:rPr>
                <w:rFonts w:ascii="宋体"/>
                <w:sz w:val="24"/>
                <w:szCs w:val="24"/>
              </w:rPr>
            </w:pPr>
            <w:r>
              <w:rPr>
                <w:rFonts w:ascii="宋体" w:hAnsi="宋体" w:cs="宋体"/>
                <w:sz w:val="24"/>
                <w:szCs w:val="24"/>
              </w:rPr>
              <w:t>2016</w:t>
            </w:r>
            <w:r>
              <w:rPr>
                <w:rFonts w:hint="eastAsia" w:ascii="宋体" w:hAnsi="宋体" w:cs="宋体"/>
                <w:sz w:val="24"/>
                <w:szCs w:val="24"/>
              </w:rPr>
              <w:t>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地点</w:t>
            </w:r>
          </w:p>
        </w:tc>
        <w:tc>
          <w:tcPr>
            <w:tcW w:w="6946" w:type="dxa"/>
          </w:tcPr>
          <w:p>
            <w:pPr>
              <w:spacing w:line="480" w:lineRule="atLeast"/>
              <w:jc w:val="center"/>
              <w:rPr>
                <w:rFonts w:ascii="宋体"/>
                <w:sz w:val="24"/>
                <w:szCs w:val="24"/>
              </w:rPr>
            </w:pPr>
            <w:r>
              <w:rPr>
                <w:rFonts w:hint="eastAsia" w:ascii="宋体" w:hAnsi="宋体" w:cs="宋体"/>
                <w:sz w:val="24"/>
                <w:szCs w:val="24"/>
              </w:rPr>
              <w:t>嘉业公司二楼会议室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tcPr>
          <w:p>
            <w:pPr>
              <w:spacing w:line="480" w:lineRule="atLeast"/>
              <w:rPr>
                <w:rFonts w:ascii="宋体"/>
                <w:b/>
                <w:bCs/>
                <w:sz w:val="24"/>
                <w:szCs w:val="24"/>
              </w:rPr>
            </w:pPr>
            <w:r>
              <w:rPr>
                <w:rFonts w:hint="eastAsia" w:ascii="宋体" w:hAnsi="宋体" w:cs="宋体"/>
                <w:b/>
                <w:bCs/>
                <w:sz w:val="24"/>
                <w:szCs w:val="24"/>
              </w:rPr>
              <w:t>上市公司接待人员姓名</w:t>
            </w:r>
          </w:p>
        </w:tc>
        <w:tc>
          <w:tcPr>
            <w:tcW w:w="6946" w:type="dxa"/>
          </w:tcPr>
          <w:p>
            <w:pPr>
              <w:spacing w:line="480" w:lineRule="atLeast"/>
              <w:jc w:val="left"/>
              <w:rPr>
                <w:rFonts w:ascii="宋体"/>
                <w:sz w:val="24"/>
                <w:szCs w:val="24"/>
              </w:rPr>
            </w:pPr>
            <w:r>
              <w:rPr>
                <w:rFonts w:hint="eastAsia" w:ascii="宋体" w:hAnsi="宋体" w:cs="宋体"/>
                <w:sz w:val="24"/>
                <w:szCs w:val="24"/>
              </w:rPr>
              <w:t>嘉业航空财务部长   韩宇峰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915" w:type="dxa"/>
            <w:vAlign w:val="center"/>
          </w:tcPr>
          <w:p>
            <w:pPr>
              <w:spacing w:line="480" w:lineRule="atLeast"/>
              <w:rPr>
                <w:rFonts w:ascii="宋体"/>
                <w:b/>
                <w:bCs/>
                <w:sz w:val="24"/>
                <w:szCs w:val="24"/>
              </w:rPr>
            </w:pPr>
            <w:r>
              <w:rPr>
                <w:rFonts w:hint="eastAsia" w:ascii="宋体" w:hAnsi="宋体" w:cs="宋体"/>
                <w:b/>
                <w:bCs/>
                <w:sz w:val="24"/>
                <w:szCs w:val="24"/>
              </w:rPr>
              <w:t>投资者关系活动主要内容介绍</w:t>
            </w:r>
          </w:p>
          <w:p>
            <w:pPr>
              <w:spacing w:line="480" w:lineRule="atLeast"/>
              <w:rPr>
                <w:rFonts w:ascii="宋体"/>
                <w:b/>
                <w:bCs/>
                <w:sz w:val="24"/>
                <w:szCs w:val="24"/>
              </w:rPr>
            </w:pPr>
          </w:p>
        </w:tc>
        <w:tc>
          <w:tcPr>
            <w:tcW w:w="6946" w:type="dxa"/>
          </w:tcPr>
          <w:p>
            <w:pPr>
              <w:spacing w:beforeLines="50" w:afterLines="50" w:line="360" w:lineRule="auto"/>
              <w:rPr>
                <w:sz w:val="24"/>
                <w:szCs w:val="24"/>
              </w:rPr>
            </w:pPr>
            <w:r>
              <w:rPr>
                <w:rFonts w:hint="eastAsia" w:cs="宋体"/>
                <w:sz w:val="24"/>
                <w:szCs w:val="24"/>
              </w:rPr>
              <w:t>本次投资者关系活动，主要以现场参观公司生产车间及会议室座谈方式进行，主要内容如下：</w:t>
            </w:r>
          </w:p>
          <w:p>
            <w:pPr>
              <w:spacing w:beforeLines="50" w:afterLines="50" w:line="360" w:lineRule="auto"/>
              <w:rPr>
                <w:sz w:val="24"/>
                <w:szCs w:val="24"/>
              </w:rPr>
            </w:pPr>
            <w:r>
              <w:rPr>
                <w:rFonts w:hint="eastAsia" w:cs="宋体"/>
                <w:sz w:val="24"/>
                <w:szCs w:val="24"/>
              </w:rPr>
              <w:t>一、公司的产品及行业情况？</w:t>
            </w:r>
          </w:p>
          <w:p>
            <w:pPr>
              <w:spacing w:beforeLines="50" w:afterLines="50" w:line="360" w:lineRule="auto"/>
              <w:ind w:firstLine="480"/>
              <w:rPr>
                <w:rFonts w:cs="宋体"/>
                <w:sz w:val="24"/>
                <w:szCs w:val="24"/>
              </w:rPr>
            </w:pPr>
            <w:r>
              <w:rPr>
                <w:rFonts w:hint="eastAsia" w:cs="宋体"/>
                <w:sz w:val="24"/>
                <w:szCs w:val="24"/>
              </w:rPr>
              <w:t>嘉业公司主要为航空、航天及轨道交通（高铁、地铁）行业提供工装、结构件以及总成产品，具有军方三级保密资质，与西飞集团、上飞集团、沈飞集团、陕飞集团、唐山客车、长春客车等国内知名航空航天</w:t>
            </w:r>
            <w:r>
              <w:rPr>
                <w:rFonts w:hint="eastAsia" w:cs="宋体"/>
                <w:sz w:val="24"/>
                <w:szCs w:val="24"/>
                <w:lang w:eastAsia="zh-CN"/>
              </w:rPr>
              <w:t>、</w:t>
            </w:r>
            <w:r>
              <w:rPr>
                <w:rFonts w:hint="eastAsia" w:cs="宋体"/>
                <w:sz w:val="24"/>
                <w:szCs w:val="24"/>
              </w:rPr>
              <w:t>轨道交通</w:t>
            </w:r>
            <w:r>
              <w:rPr>
                <w:rFonts w:hint="eastAsia" w:cs="宋体"/>
                <w:sz w:val="24"/>
                <w:szCs w:val="24"/>
                <w:lang w:eastAsia="zh-CN"/>
              </w:rPr>
              <w:t>等</w:t>
            </w:r>
            <w:r>
              <w:rPr>
                <w:rFonts w:hint="eastAsia" w:cs="宋体"/>
                <w:sz w:val="24"/>
                <w:szCs w:val="24"/>
              </w:rPr>
              <w:t>企业在内的一批核心客户密切合作， 除了传统业务之外公司从去年开始已经利用原有储备的新技术新工艺（内高压充液成型技术、3D打印技术等）逐步进入航空零部件生产领域，已形成部分销售收入，虽目前量级较小，但我们对未来市场前景比较看好。</w:t>
            </w:r>
          </w:p>
          <w:p>
            <w:pPr>
              <w:numPr>
                <w:ilvl w:val="0"/>
                <w:numId w:val="1"/>
              </w:numPr>
              <w:spacing w:line="360" w:lineRule="auto"/>
              <w:rPr>
                <w:rFonts w:ascii="宋体"/>
                <w:kern w:val="0"/>
                <w:sz w:val="24"/>
                <w:szCs w:val="24"/>
                <w:lang w:val="zh-CN"/>
              </w:rPr>
            </w:pPr>
            <w:r>
              <w:rPr>
                <w:rFonts w:hint="eastAsia" w:ascii="宋体" w:hAnsi="宋体" w:cs="宋体"/>
                <w:sz w:val="24"/>
                <w:szCs w:val="24"/>
              </w:rPr>
              <w:t>关于公司</w:t>
            </w:r>
            <w:r>
              <w:rPr>
                <w:rFonts w:ascii="宋体" w:hAnsi="宋体" w:cs="宋体"/>
                <w:sz w:val="24"/>
                <w:szCs w:val="24"/>
              </w:rPr>
              <w:t>201</w:t>
            </w:r>
            <w:r>
              <w:rPr>
                <w:rFonts w:hint="eastAsia" w:ascii="宋体" w:hAnsi="宋体" w:cs="宋体"/>
                <w:sz w:val="24"/>
                <w:szCs w:val="24"/>
              </w:rPr>
              <w:t>6年度业绩情况及承诺期内业绩完成有无压力？</w:t>
            </w:r>
          </w:p>
          <w:p>
            <w:pPr>
              <w:spacing w:beforeLines="50" w:afterLines="50" w:line="360" w:lineRule="auto"/>
              <w:ind w:firstLine="480"/>
              <w:rPr>
                <w:rFonts w:cs="宋体"/>
                <w:sz w:val="24"/>
                <w:szCs w:val="24"/>
              </w:rPr>
            </w:pPr>
            <w:r>
              <w:rPr>
                <w:rFonts w:hint="eastAsia" w:cs="宋体"/>
                <w:sz w:val="24"/>
                <w:szCs w:val="24"/>
              </w:rPr>
              <w:t>公司2015-2017年业绩承诺分别为3150万元、4100万元和5100万元。</w:t>
            </w:r>
            <w:r>
              <w:rPr>
                <w:rFonts w:hint="eastAsia" w:ascii="宋体" w:hAnsi="宋体" w:cs="宋体"/>
                <w:sz w:val="24"/>
                <w:szCs w:val="24"/>
              </w:rPr>
              <w:t>2015年公司</w:t>
            </w:r>
            <w:r>
              <w:rPr>
                <w:rFonts w:hint="eastAsia" w:ascii="宋体" w:hAnsi="宋体" w:cs="宋体"/>
                <w:kern w:val="0"/>
                <w:sz w:val="24"/>
                <w:szCs w:val="24"/>
                <w:lang w:val="zh-CN"/>
              </w:rPr>
              <w:t>实现营业收入</w:t>
            </w:r>
            <w:r>
              <w:rPr>
                <w:rFonts w:ascii="宋体" w:hAnsi="宋体" w:cs="宋体"/>
                <w:kern w:val="0"/>
                <w:sz w:val="24"/>
                <w:szCs w:val="24"/>
                <w:lang w:val="zh-CN"/>
              </w:rPr>
              <w:t>1</w:t>
            </w:r>
            <w:r>
              <w:rPr>
                <w:rFonts w:hint="eastAsia" w:ascii="宋体" w:hAnsi="宋体" w:cs="宋体"/>
                <w:kern w:val="0"/>
                <w:sz w:val="24"/>
                <w:szCs w:val="24"/>
              </w:rPr>
              <w:t>.5855</w:t>
            </w:r>
            <w:r>
              <w:rPr>
                <w:rFonts w:hint="eastAsia" w:ascii="宋体" w:hAnsi="宋体" w:cs="宋体"/>
                <w:kern w:val="0"/>
                <w:sz w:val="24"/>
                <w:szCs w:val="24"/>
                <w:lang w:val="zh-CN"/>
              </w:rPr>
              <w:t>亿元，净利润</w:t>
            </w:r>
            <w:r>
              <w:rPr>
                <w:rFonts w:hint="eastAsia" w:ascii="宋体" w:hAnsi="宋体" w:cs="宋体"/>
                <w:kern w:val="0"/>
                <w:sz w:val="24"/>
                <w:szCs w:val="24"/>
              </w:rPr>
              <w:t>3430.8万</w:t>
            </w:r>
            <w:r>
              <w:rPr>
                <w:rFonts w:hint="eastAsia" w:ascii="宋体" w:hAnsi="宋体" w:cs="宋体"/>
                <w:kern w:val="0"/>
                <w:sz w:val="24"/>
                <w:szCs w:val="24"/>
                <w:lang w:val="zh-CN"/>
              </w:rPr>
              <w:t>元，较上年</w:t>
            </w:r>
            <w:r>
              <w:rPr>
                <w:rFonts w:hint="eastAsia" w:ascii="宋体" w:hAnsi="宋体" w:cs="宋体"/>
                <w:kern w:val="0"/>
                <w:sz w:val="24"/>
                <w:szCs w:val="24"/>
              </w:rPr>
              <w:t>度有较大幅度增长</w:t>
            </w:r>
            <w:r>
              <w:rPr>
                <w:rFonts w:hint="eastAsia" w:ascii="宋体" w:hAnsi="宋体" w:cs="宋体"/>
                <w:kern w:val="0"/>
                <w:sz w:val="24"/>
                <w:szCs w:val="24"/>
                <w:lang w:val="zh-CN"/>
              </w:rPr>
              <w:t>。</w:t>
            </w:r>
            <w:r>
              <w:rPr>
                <w:rFonts w:hint="eastAsia" w:ascii="宋体" w:hAnsi="宋体" w:cs="宋体"/>
                <w:kern w:val="0"/>
                <w:sz w:val="24"/>
                <w:szCs w:val="24"/>
              </w:rPr>
              <w:t>虽</w:t>
            </w:r>
            <w:r>
              <w:rPr>
                <w:rFonts w:hint="eastAsia" w:ascii="宋体" w:hAnsi="宋体" w:cs="宋体"/>
                <w:kern w:val="0"/>
                <w:sz w:val="24"/>
                <w:szCs w:val="24"/>
                <w:lang w:val="zh-CN"/>
              </w:rPr>
              <w:t>目前国内外经济形势尚不明朗，竞争仍很激烈，</w:t>
            </w:r>
            <w:r>
              <w:rPr>
                <w:rFonts w:hint="eastAsia" w:ascii="宋体" w:hAnsi="宋体" w:cs="宋体"/>
                <w:kern w:val="0"/>
                <w:sz w:val="24"/>
                <w:szCs w:val="24"/>
              </w:rPr>
              <w:t>但公司所处业务领域，航空航天、轨道交通（高铁，地铁）属于国家战略支持行业，故受到的影响相对较小，以截止目前生产情况及在手订单来看，我们有信心完成承诺业绩。</w:t>
            </w:r>
          </w:p>
          <w:p>
            <w:pPr>
              <w:spacing w:beforeLines="50" w:afterLines="50" w:line="360" w:lineRule="auto"/>
              <w:rPr>
                <w:sz w:val="24"/>
                <w:szCs w:val="24"/>
              </w:rPr>
            </w:pPr>
            <w:r>
              <w:rPr>
                <w:rFonts w:hint="eastAsia" w:cs="宋体"/>
                <w:sz w:val="24"/>
                <w:szCs w:val="24"/>
              </w:rPr>
              <w:t>三、公司未来发展规划？</w:t>
            </w:r>
            <w:bookmarkStart w:id="0" w:name="_GoBack"/>
            <w:bookmarkEnd w:id="0"/>
          </w:p>
          <w:p>
            <w:pPr>
              <w:keepNext w:val="0"/>
              <w:keepLines w:val="0"/>
              <w:widowControl/>
              <w:suppressLineNumbers w:val="0"/>
              <w:spacing w:line="360" w:lineRule="auto"/>
              <w:jc w:val="left"/>
              <w:rPr>
                <w:sz w:val="24"/>
                <w:szCs w:val="24"/>
              </w:rPr>
            </w:pPr>
            <w:r>
              <w:rPr>
                <w:rFonts w:hint="eastAsia" w:cs="宋体"/>
                <w:sz w:val="24"/>
                <w:szCs w:val="24"/>
                <w:lang w:val="en-US" w:eastAsia="zh-CN"/>
              </w:rPr>
              <w:t xml:space="preserve">    </w:t>
            </w:r>
            <w:r>
              <w:rPr>
                <w:rFonts w:hint="eastAsia" w:asciiTheme="majorEastAsia" w:hAnsiTheme="majorEastAsia" w:eastAsiaTheme="majorEastAsia" w:cstheme="majorEastAsia"/>
                <w:sz w:val="24"/>
                <w:szCs w:val="24"/>
              </w:rPr>
              <w:t>公司传统业务领域所涉及产品工装、模具、各类结构件等将继续保持优势，并稳步发展；</w:t>
            </w:r>
            <w:r>
              <w:rPr>
                <w:rFonts w:hint="eastAsia" w:asciiTheme="majorEastAsia" w:hAnsiTheme="majorEastAsia" w:eastAsiaTheme="majorEastAsia" w:cstheme="majorEastAsia"/>
                <w:kern w:val="0"/>
                <w:sz w:val="24"/>
                <w:szCs w:val="24"/>
                <w:lang w:val="en-US" w:eastAsia="zh-CN" w:bidi="ar"/>
              </w:rPr>
              <w:t>同时将继续加大新技术、新工艺的研发投入，包括新材料在内所涉及业务领域内的工程应用,</w:t>
            </w:r>
            <w:r>
              <w:rPr>
                <w:rFonts w:hint="eastAsia" w:asciiTheme="majorEastAsia" w:hAnsiTheme="majorEastAsia" w:eastAsiaTheme="majorEastAsia" w:cstheme="majorEastAsia"/>
                <w:sz w:val="24"/>
                <w:szCs w:val="24"/>
                <w:lang w:eastAsia="zh-CN"/>
              </w:rPr>
              <w:t>来</w:t>
            </w:r>
            <w:r>
              <w:rPr>
                <w:rFonts w:hint="eastAsia" w:asciiTheme="majorEastAsia" w:hAnsiTheme="majorEastAsia" w:eastAsiaTheme="majorEastAsia" w:cstheme="majorEastAsia"/>
                <w:sz w:val="24"/>
                <w:szCs w:val="24"/>
              </w:rPr>
              <w:t>提高公司的产品的科技含量</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为下一步公司长远发展储备技术人才</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积蓄技术优势。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5" w:type="dxa"/>
            <w:vAlign w:val="center"/>
          </w:tcPr>
          <w:p>
            <w:pPr>
              <w:spacing w:line="480" w:lineRule="atLeast"/>
              <w:rPr>
                <w:rFonts w:ascii="宋体"/>
                <w:b/>
                <w:bCs/>
                <w:sz w:val="24"/>
                <w:szCs w:val="24"/>
              </w:rPr>
            </w:pPr>
            <w:r>
              <w:rPr>
                <w:rFonts w:hint="eastAsia" w:ascii="宋体" w:hAnsi="宋体" w:cs="宋体"/>
                <w:b/>
                <w:bCs/>
                <w:sz w:val="24"/>
                <w:szCs w:val="24"/>
              </w:rPr>
              <w:t>附件清单（如有）</w:t>
            </w:r>
          </w:p>
        </w:tc>
        <w:tc>
          <w:tcPr>
            <w:tcW w:w="6946" w:type="dxa"/>
          </w:tcPr>
          <w:p>
            <w:pPr>
              <w:spacing w:line="480" w:lineRule="atLeast"/>
              <w:rPr>
                <w:rFonts w:ascii="宋体"/>
                <w:sz w:val="24"/>
                <w:szCs w:val="24"/>
              </w:rPr>
            </w:pPr>
            <w:r>
              <w:rPr>
                <w:rFonts w:hint="eastAsia" w:ascii="宋体" w:hAnsi="宋体" w:cs="宋体"/>
                <w:sz w:val="24"/>
                <w:szCs w:val="24"/>
              </w:rPr>
              <w:t>无</w:t>
            </w:r>
          </w:p>
        </w:tc>
      </w:tr>
    </w:tbl>
    <w:p>
      <w:pPr>
        <w:widowControl/>
        <w:jc w:val="left"/>
      </w:pPr>
    </w:p>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BC13"/>
    <w:multiLevelType w:val="singleLevel"/>
    <w:tmpl w:val="5719BC1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FB47A8B"/>
    <w:rsid w:val="00090818"/>
    <w:rsid w:val="000C14A1"/>
    <w:rsid w:val="002112B9"/>
    <w:rsid w:val="002215A2"/>
    <w:rsid w:val="003260CD"/>
    <w:rsid w:val="00430BF2"/>
    <w:rsid w:val="00492085"/>
    <w:rsid w:val="004928EB"/>
    <w:rsid w:val="004E1646"/>
    <w:rsid w:val="00506473"/>
    <w:rsid w:val="00525420"/>
    <w:rsid w:val="00551FAE"/>
    <w:rsid w:val="005A6BA0"/>
    <w:rsid w:val="005E2CC0"/>
    <w:rsid w:val="0060267B"/>
    <w:rsid w:val="0061150F"/>
    <w:rsid w:val="006860B9"/>
    <w:rsid w:val="007663D9"/>
    <w:rsid w:val="00A05E8A"/>
    <w:rsid w:val="00A41F81"/>
    <w:rsid w:val="00AB507B"/>
    <w:rsid w:val="00B02832"/>
    <w:rsid w:val="00B50FD7"/>
    <w:rsid w:val="00BB3ED4"/>
    <w:rsid w:val="00BB3FB4"/>
    <w:rsid w:val="00CB2E1F"/>
    <w:rsid w:val="00CF27F0"/>
    <w:rsid w:val="00DA32B2"/>
    <w:rsid w:val="00E65BB4"/>
    <w:rsid w:val="00EC4439"/>
    <w:rsid w:val="00F06BC7"/>
    <w:rsid w:val="00FD1A82"/>
    <w:rsid w:val="00FE095D"/>
    <w:rsid w:val="0EC00379"/>
    <w:rsid w:val="22983C94"/>
    <w:rsid w:val="2DF21006"/>
    <w:rsid w:val="32391F2B"/>
    <w:rsid w:val="38DD252D"/>
    <w:rsid w:val="56E35153"/>
    <w:rsid w:val="579058D3"/>
    <w:rsid w:val="6E280728"/>
    <w:rsid w:val="7B911300"/>
    <w:rsid w:val="7FB47A8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kern w:val="2"/>
      <w:sz w:val="18"/>
      <w:szCs w:val="18"/>
    </w:rPr>
  </w:style>
  <w:style w:type="character" w:customStyle="1" w:styleId="7">
    <w:name w:val="页脚 Char"/>
    <w:basedOn w:val="4"/>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134</Words>
  <Characters>766</Characters>
  <Lines>6</Lines>
  <Paragraphs>1</Paragraphs>
  <ScaleCrop>false</ScaleCrop>
  <LinksUpToDate>false</LinksUpToDate>
  <CharactersWithSpaces>899</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2016-04-22T05:38:00Z</dcterms:created>
  <dc:creator>Administrator</dc:creator>
  <cp:lastModifiedBy>Administrator</cp:lastModifiedBy>
  <dcterms:modified xsi:type="dcterms:W3CDTF">2016-07-18T01:54:42Z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