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A3" w:rsidRPr="00470AEA" w:rsidRDefault="004347A3" w:rsidP="004347A3">
      <w:pPr>
        <w:pStyle w:val="a5"/>
        <w:tabs>
          <w:tab w:val="left" w:pos="1080"/>
        </w:tabs>
        <w:spacing w:beforeLines="50" w:before="156" w:afterLines="50" w:after="156" w:line="360" w:lineRule="auto"/>
        <w:ind w:leftChars="0" w:left="560" w:hangingChars="175" w:hanging="560"/>
        <w:rPr>
          <w:rFonts w:ascii="华文中宋" w:eastAsia="华文中宋" w:hAnsi="华文中宋"/>
          <w:bCs/>
          <w:iCs/>
          <w:color w:val="000000"/>
          <w:sz w:val="32"/>
          <w:szCs w:val="32"/>
        </w:rPr>
      </w:pPr>
      <w:r w:rsidRPr="00470AEA">
        <w:rPr>
          <w:rFonts w:ascii="华文中宋" w:eastAsia="华文中宋" w:hAnsi="华文中宋" w:hint="eastAsia"/>
          <w:bCs/>
          <w:iCs/>
          <w:color w:val="000000"/>
          <w:sz w:val="32"/>
          <w:szCs w:val="32"/>
        </w:rPr>
        <w:t>厦门市美亚柏科信息股份有限公司投资者关系活动记录表</w:t>
      </w:r>
    </w:p>
    <w:p w:rsidR="004347A3" w:rsidRPr="00470AEA" w:rsidRDefault="004347A3" w:rsidP="004347A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470AEA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编号：2016-0</w:t>
      </w:r>
      <w:r>
        <w:rPr>
          <w:rFonts w:ascii="宋体" w:hAnsi="宋体" w:hint="eastAsia"/>
          <w:bCs/>
          <w:iCs/>
          <w:color w:val="000000"/>
          <w:sz w:val="24"/>
        </w:rPr>
        <w:t>7</w:t>
      </w:r>
      <w:r w:rsidRPr="00470AEA">
        <w:rPr>
          <w:rFonts w:ascii="宋体" w:hAnsi="宋体" w:hint="eastAsia"/>
          <w:bCs/>
          <w:iCs/>
          <w:color w:val="000000"/>
          <w:sz w:val="24"/>
        </w:rPr>
        <w:t>-0</w:t>
      </w:r>
      <w:r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5"/>
      </w:tblGrid>
      <w:tr w:rsidR="004347A3" w:rsidRPr="00470AEA" w:rsidTr="00FF6F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470AEA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特定对象调研        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70AEA">
              <w:rPr>
                <w:rFonts w:ascii="宋体" w:hAnsi="宋体" w:hint="eastAsia"/>
                <w:color w:val="000000"/>
                <w:sz w:val="24"/>
                <w:szCs w:val="28"/>
              </w:rPr>
              <w:t>分析师会议</w:t>
            </w:r>
          </w:p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70AEA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媒体采访            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70AEA">
              <w:rPr>
                <w:rFonts w:ascii="宋体" w:hAnsi="宋体" w:hint="eastAsia"/>
                <w:color w:val="000000"/>
                <w:sz w:val="24"/>
                <w:szCs w:val="28"/>
              </w:rPr>
              <w:t>业绩说明会</w:t>
            </w:r>
          </w:p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70AEA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新闻发布会          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70AEA">
              <w:rPr>
                <w:rFonts w:ascii="宋体" w:hAnsi="宋体" w:hint="eastAsia"/>
                <w:color w:val="000000"/>
                <w:sz w:val="24"/>
                <w:szCs w:val="28"/>
              </w:rPr>
              <w:t>路演活动</w:t>
            </w:r>
          </w:p>
          <w:p w:rsidR="004347A3" w:rsidRPr="00470AEA" w:rsidRDefault="004347A3" w:rsidP="00FF6FA4">
            <w:pPr>
              <w:tabs>
                <w:tab w:val="left" w:pos="3045"/>
                <w:tab w:val="center" w:pos="3199"/>
              </w:tabs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470AEA">
              <w:rPr>
                <w:rFonts w:ascii="宋体" w:hAnsi="宋体" w:hint="eastAsia"/>
                <w:color w:val="000000"/>
                <w:sz w:val="24"/>
                <w:szCs w:val="28"/>
              </w:rPr>
              <w:t>现场参观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347A3" w:rsidRPr="00470AEA" w:rsidRDefault="004347A3" w:rsidP="00FF6FA4">
            <w:pPr>
              <w:tabs>
                <w:tab w:val="center" w:pos="3199"/>
              </w:tabs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470AEA">
              <w:rPr>
                <w:rFonts w:ascii="宋体" w:hAnsi="宋体" w:hint="eastAsia"/>
                <w:color w:val="000000"/>
                <w:sz w:val="24"/>
                <w:szCs w:val="28"/>
              </w:rPr>
              <w:t>其他：</w:t>
            </w:r>
            <w:r w:rsidRPr="00470AEA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4347A3" w:rsidRPr="00470AEA" w:rsidTr="00FF6FA4">
        <w:trPr>
          <w:trHeight w:val="7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E91E7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海通证券谢春生</w:t>
            </w:r>
            <w:r w:rsidRPr="002F5DB2">
              <w:rPr>
                <w:rFonts w:ascii="宋体" w:hAnsi="宋体" w:hint="eastAsia"/>
                <w:bCs/>
                <w:iCs/>
                <w:color w:val="000000"/>
                <w:sz w:val="24"/>
              </w:rPr>
              <w:t>、吴建、刘雁翔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Pr="002F5DB2">
              <w:rPr>
                <w:rFonts w:ascii="宋体" w:hAnsi="宋体" w:hint="eastAsia"/>
                <w:bCs/>
                <w:iCs/>
                <w:color w:val="000000"/>
                <w:sz w:val="24"/>
              </w:rPr>
              <w:t>宝</w:t>
            </w:r>
            <w:proofErr w:type="gramStart"/>
            <w:r w:rsidRPr="002F5DB2">
              <w:rPr>
                <w:rFonts w:ascii="宋体" w:hAnsi="宋体" w:hint="eastAsia"/>
                <w:bCs/>
                <w:iCs/>
                <w:color w:val="000000"/>
                <w:sz w:val="24"/>
              </w:rPr>
              <w:t>盈基金文</w:t>
            </w:r>
            <w:proofErr w:type="gramEnd"/>
            <w:r w:rsidRPr="002F5DB2">
              <w:rPr>
                <w:rFonts w:ascii="宋体" w:hAnsi="宋体" w:hint="eastAsia"/>
                <w:bCs/>
                <w:iCs/>
                <w:color w:val="000000"/>
                <w:sz w:val="24"/>
              </w:rPr>
              <w:t>仲阳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Pr="002F5DB2">
              <w:rPr>
                <w:rFonts w:ascii="宋体" w:hAnsi="宋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 w:rsidRPr="002F5DB2">
              <w:rPr>
                <w:rFonts w:ascii="宋体" w:hAnsi="宋体" w:hint="eastAsia"/>
                <w:bCs/>
                <w:iCs/>
                <w:color w:val="000000"/>
                <w:sz w:val="24"/>
              </w:rPr>
              <w:t>海基金易</w:t>
            </w:r>
            <w:proofErr w:type="gramEnd"/>
            <w:r w:rsidRPr="002F5DB2">
              <w:rPr>
                <w:rFonts w:ascii="宋体" w:hAnsi="宋体" w:hint="eastAsia"/>
                <w:bCs/>
                <w:iCs/>
                <w:color w:val="000000"/>
                <w:sz w:val="24"/>
              </w:rPr>
              <w:t>小金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Pr="002F5DB2">
              <w:rPr>
                <w:rFonts w:ascii="宋体" w:hAnsi="宋体" w:hint="eastAsia"/>
                <w:bCs/>
                <w:iCs/>
                <w:color w:val="000000"/>
                <w:sz w:val="24"/>
              </w:rPr>
              <w:t>华商基金郭鹏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Pr="002F5DB2">
              <w:rPr>
                <w:rFonts w:ascii="宋体" w:hAnsi="宋体" w:hint="eastAsia"/>
                <w:bCs/>
                <w:iCs/>
                <w:color w:val="000000"/>
                <w:sz w:val="24"/>
              </w:rPr>
              <w:t>银</w:t>
            </w:r>
            <w:r w:rsidR="007812BD">
              <w:rPr>
                <w:rFonts w:ascii="宋体" w:hAnsi="宋体" w:hint="eastAsia"/>
                <w:bCs/>
                <w:iCs/>
                <w:color w:val="000000"/>
                <w:sz w:val="24"/>
              </w:rPr>
              <w:t>河</w:t>
            </w:r>
            <w:r w:rsidRPr="002F5DB2">
              <w:rPr>
                <w:rFonts w:ascii="宋体" w:hAnsi="宋体" w:hint="eastAsia"/>
                <w:bCs/>
                <w:iCs/>
                <w:color w:val="000000"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田萌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邮基金周楠</w:t>
            </w:r>
            <w:proofErr w:type="gramEnd"/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东方基金郭瑞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泰康资产赵岩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海富通</w:t>
            </w:r>
            <w:r w:rsidR="00BD34F0">
              <w:rPr>
                <w:rFonts w:ascii="宋体" w:hAnsi="宋体" w:hint="eastAsia"/>
                <w:bCs/>
                <w:iCs/>
                <w:color w:val="000000"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黄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浩</w:t>
            </w:r>
            <w:proofErr w:type="gramEnd"/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国信证券何立中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国联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安</w:t>
            </w:r>
            <w:r w:rsidR="00BD34F0">
              <w:rPr>
                <w:rFonts w:ascii="宋体" w:hAnsi="宋体" w:hint="eastAsia"/>
                <w:bCs/>
                <w:iCs/>
                <w:color w:val="000000"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高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诗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东吴基金戴斌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金鹰基金樊勇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新华基金杨祺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九</w:t>
            </w:r>
            <w:r w:rsidR="007812BD">
              <w:rPr>
                <w:rFonts w:ascii="宋体" w:hAnsi="宋体" w:hint="eastAsia"/>
                <w:bCs/>
                <w:iCs/>
                <w:color w:val="000000"/>
                <w:sz w:val="24"/>
              </w:rPr>
              <w:t>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基金刘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越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长盛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基金吴博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文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方正证券王彬彬</w:t>
            </w:r>
            <w:r w:rsidR="00E91E73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南方基金邹寅隆共20人</w:t>
            </w:r>
          </w:p>
        </w:tc>
      </w:tr>
      <w:tr w:rsidR="004347A3" w:rsidRPr="00470AEA" w:rsidTr="00B808B4">
        <w:trPr>
          <w:trHeight w:val="5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2016</w:t>
            </w:r>
            <w:r w:rsidRPr="00470AEA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9:3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4347A3" w:rsidRPr="00470AEA" w:rsidTr="00FF6FA4">
        <w:trPr>
          <w:trHeight w:val="4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厦门市软件园二期观日路12号美亚柏科大厦</w:t>
            </w:r>
          </w:p>
        </w:tc>
      </w:tr>
      <w:tr w:rsidR="004347A3" w:rsidRPr="00470AEA" w:rsidTr="00FF6F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董事长滕达、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董事会秘书李滢雪、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证券事务专员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陈琼</w:t>
            </w:r>
          </w:p>
        </w:tc>
      </w:tr>
      <w:tr w:rsidR="004347A3" w:rsidRPr="00470AEA" w:rsidTr="00FF6F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237180" w:rsidRDefault="004347A3" w:rsidP="00FF6FA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2371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一、公司参观</w:t>
            </w:r>
          </w:p>
          <w:p w:rsidR="004347A3" w:rsidRDefault="004347A3" w:rsidP="00FF6FA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公司产品体验区、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2020大数据实验室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超级计算中心（云计算中心）、大搜索实验室。</w:t>
            </w:r>
          </w:p>
          <w:p w:rsidR="004347A3" w:rsidRPr="00237180" w:rsidRDefault="004347A3" w:rsidP="00FF6FA4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二</w:t>
            </w:r>
            <w:r w:rsidRPr="0023718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、座谈交流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1、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公司在区块链技术上有没有布局？</w:t>
            </w:r>
          </w:p>
          <w:p w:rsidR="004347A3" w:rsidRPr="00EC6472" w:rsidRDefault="004347A3" w:rsidP="00FF6FA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我们相关的业务部门也做了一些探索，单从技术的角度来看，区块链技术可以考虑应用于存证、版权交易等业务中，但因其去中心化认证等模式在上述应用中尚存在一定的法律障碍，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所以</w:t>
            </w:r>
            <w:r w:rsidR="00B808B4">
              <w:rPr>
                <w:rFonts w:ascii="宋体" w:hAnsi="宋体" w:hint="eastAsia"/>
                <w:bCs/>
                <w:iCs/>
                <w:color w:val="000000"/>
                <w:sz w:val="24"/>
              </w:rPr>
              <w:t>暂无实质应用。</w:t>
            </w:r>
          </w:p>
          <w:p w:rsidR="004347A3" w:rsidRPr="00EC6472" w:rsidRDefault="004347A3" w:rsidP="00FF6FA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公司除了公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安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以外，其他客户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对公司业绩的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贡献度怎样？</w:t>
            </w:r>
          </w:p>
          <w:p w:rsidR="004347A3" w:rsidRPr="00EC6472" w:rsidRDefault="004347A3" w:rsidP="00FF6FA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回复：公安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以外的新行业如检察院、工商、海关、税务、证监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等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收入占</w:t>
            </w:r>
            <w:proofErr w:type="gramStart"/>
            <w:r>
              <w:rPr>
                <w:rFonts w:ascii="宋体" w:hAnsi="宋体"/>
                <w:bCs/>
                <w:iCs/>
                <w:color w:val="000000"/>
                <w:sz w:val="24"/>
              </w:rPr>
              <w:t>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逐渐</w:t>
            </w:r>
            <w:proofErr w:type="gramEnd"/>
            <w:r>
              <w:rPr>
                <w:rFonts w:ascii="宋体" w:hAnsi="宋体"/>
                <w:bCs/>
                <w:iCs/>
                <w:color w:val="000000"/>
                <w:sz w:val="24"/>
              </w:rPr>
              <w:t>提高，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目前来自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公安行业收入占比约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50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%，其他行业收入占比约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50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%。</w:t>
            </w:r>
          </w:p>
          <w:p w:rsidR="004347A3" w:rsidRPr="00EC6472" w:rsidRDefault="004347A3" w:rsidP="00FF6FA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3、公司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开拓新行业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客户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优势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在哪里？</w:t>
            </w:r>
          </w:p>
          <w:p w:rsidR="004347A3" w:rsidRPr="00EC6472" w:rsidRDefault="004347A3" w:rsidP="00FF6FA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公司长期深耕于公安行业，具有较好的行业影响力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和品牌效应，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形成的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以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培训带动营销的模式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是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公司业务推广的主要模式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。随着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互联网应用的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深入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普及，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工商、税务、证监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、食药监等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行业监管需求也由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线下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逐步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延伸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至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线上</w:t>
            </w:r>
            <w:proofErr w:type="gramEnd"/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拓展新行业的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模式与公安行业类似，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有效地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将培训营销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模式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直接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复制到新行业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客户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中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，同时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通过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外延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合作加强渠道拓展，实现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新行业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快速推广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4347A3" w:rsidRPr="00EC6472" w:rsidRDefault="004347A3" w:rsidP="00FF6FA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4、公司与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华为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合作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模式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  <w:r w:rsidDel="00EC574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4347A3" w:rsidRDefault="004347A3" w:rsidP="00FF6FA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回复：公司与华为合作共同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提供</w:t>
            </w:r>
            <w:r w:rsidRPr="00B23B7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公安大数据创新应用解决方案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，公司</w:t>
            </w:r>
            <w:r w:rsidRPr="00B23B7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重点进行大数据应用软件研发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Pr="00B23B7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华为主要从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服务器、网络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设备等</w:t>
            </w:r>
            <w:r w:rsidRPr="00B23B7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方面提供支撑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4347A3" w:rsidRPr="00EC6472" w:rsidRDefault="004347A3" w:rsidP="00FF6FA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5、公司与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飞利信合作的公司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目前情况怎么样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347A3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国信宏数为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公司的控股子公司美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亚宏数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和飞利信子公司国信利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信共同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出资成立。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国信宏数自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去年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筹建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以来，现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已开始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承接项目。</w:t>
            </w:r>
          </w:p>
          <w:p w:rsidR="004347A3" w:rsidRDefault="004347A3" w:rsidP="00FF6FA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</w:t>
            </w:r>
            <w:r w:rsidRPr="004838B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公司在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大数据方面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哪些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落地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应用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5863A9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回复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自成立以来一直围绕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数据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采集、分析方面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进行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产品研发和市场推广，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而言，</w:t>
            </w:r>
            <w:r w:rsidRPr="003B0D1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在应用方向上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主要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为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公安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proofErr w:type="gramStart"/>
            <w:r w:rsidRPr="003B0D1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网信办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等客户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提供</w:t>
            </w:r>
            <w:r w:rsidRPr="003B0D1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网络违法信息发现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Pr="003B0D1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网络舆情分析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平台建设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和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服务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，为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发改委提供</w:t>
            </w:r>
            <w:r w:rsidRPr="003B0D1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政策经济态势分析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服务，为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工商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食药</w:t>
            </w:r>
            <w:proofErr w:type="gramStart"/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监用户</w:t>
            </w:r>
            <w:proofErr w:type="gramEnd"/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提供网络商品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交易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监管平台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及网络市场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监测服务，为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证监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、金融办、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基金业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协会等用户提供网络金融风险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预警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监测及防控服务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等</w:t>
            </w:r>
            <w:r w:rsidR="005863A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此外，还将进一步围绕城市公共安全方面开展更多的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应用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。</w:t>
            </w:r>
            <w:r w:rsidRPr="00782D5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7、电子数据作为法定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证据类型以来，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相关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业务需求量上有什么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变化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4347A3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回复：一方面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公安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以外的其他行政执法部门关于电子数据取证设备的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采购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需求增加，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行业收入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占比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结构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变化中可以看出。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另一方面，电子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数据鉴定服务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量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快速增加，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2015年增速达到85%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主要是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涉及到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的电子数据的案件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和纠纷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越来越多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8、2015年公司的服务收入占比达到12%？2016年占比是否会更大？</w:t>
            </w:r>
          </w:p>
          <w:p w:rsidR="004347A3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回复：“小产品、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大服务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”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是公司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战略方向，随着基于大数据的信息化平台建设的增加，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未来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基于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大数据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资源开展的</w:t>
            </w:r>
            <w:proofErr w:type="gramStart"/>
            <w:r>
              <w:rPr>
                <w:rFonts w:ascii="宋体" w:hAnsi="宋体"/>
                <w:bCs/>
                <w:iCs/>
                <w:color w:val="000000"/>
                <w:sz w:val="24"/>
              </w:rPr>
              <w:t>云服务</w:t>
            </w:r>
            <w:proofErr w:type="gramEnd"/>
            <w:r>
              <w:rPr>
                <w:rFonts w:ascii="宋体" w:hAnsi="宋体"/>
                <w:bCs/>
                <w:iCs/>
                <w:color w:val="000000"/>
                <w:sz w:val="24"/>
              </w:rPr>
              <w:t>业务有望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逐步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提升。从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收入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结构占比来说，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短期内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不一定会有明显变化，因为产品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收入相对来说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体量大，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整体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基数在不断增大。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9、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江苏税软税务业务是否会超预期？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回复：江苏税软主要是从事涉税数据研究分析</w:t>
            </w:r>
            <w:r w:rsidR="005863A9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为全国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各地的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税务机关提供软件产品和服务，目前主要应用在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税务稽查领域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接下来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会延伸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税务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征管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企业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涉税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管理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领域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因为其客户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类型所致，其业务也具有明显的季节性特点，上半年收入占比较低，所以目前来说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还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没有明显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体现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10、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武汉大</w:t>
            </w:r>
            <w:proofErr w:type="gramStart"/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千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经营情况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怎样？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销售渠道是否主要依靠新德汇？</w:t>
            </w:r>
          </w:p>
          <w:p w:rsidR="004347A3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回复：武汉大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千主要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专注于公共安全行业的海量图像与视频的检索、分析、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判和侦查等技术领域的产品、装备的研发和服务。公司2015年成立第四研究院与武汉大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千合作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开发视频系列产品。目前整体规模不是很大，今年预计的净利润规模在七八百万元。武汉大千的视频分析产品主要定位于公安刑侦领域，与珠海新德汇的客户领域相同，可以进行渠道共享。 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11、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美亚梧桐基金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进展情况？退出机制是怎么样的？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回复：上半年主要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开展了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资金募集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基金备案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申请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项目考察工作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。基金</w:t>
            </w:r>
            <w:r>
              <w:rPr>
                <w:rFonts w:hAnsi="宋体" w:hint="eastAsia"/>
                <w:sz w:val="24"/>
              </w:rPr>
              <w:t>投资期为</w:t>
            </w:r>
            <w:r>
              <w:rPr>
                <w:rFonts w:hAnsi="宋体"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，退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期1年。届时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投资项目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公司业务关联性比较大的，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公司可考虑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进一步收购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可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lastRenderedPageBreak/>
              <w:t>通过IPO、新三板挂牌或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转让给第三方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的方式退出。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12、公司是否还会推出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股权激励？</w:t>
            </w:r>
          </w:p>
          <w:p w:rsidR="004347A3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回复：股权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激励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作为一项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长效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激励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机制，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对稳定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核心团队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具有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重要作用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合适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的时机公司还会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继续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推出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新的股权激励计划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13、公司在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网络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空间安全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方面的业务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有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哪些新的进展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是否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符合之前的预期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4347A3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回复：公司基本是按照计划在执行。公司业务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正在从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事后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取证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鉴定</w:t>
            </w:r>
            <w:proofErr w:type="gramStart"/>
            <w:r>
              <w:rPr>
                <w:rFonts w:ascii="宋体" w:hAnsi="宋体"/>
                <w:bCs/>
                <w:iCs/>
                <w:color w:val="000000"/>
                <w:sz w:val="24"/>
              </w:rPr>
              <w:t>逐步向事中</w:t>
            </w:r>
            <w:proofErr w:type="gramEnd"/>
            <w:r>
              <w:rPr>
                <w:rFonts w:ascii="宋体" w:hAnsi="宋体"/>
                <w:bCs/>
                <w:iCs/>
                <w:color w:val="000000"/>
                <w:sz w:val="24"/>
              </w:rPr>
              <w:t>监管和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事前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预警、防范方向延伸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公司上市之前，主要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是为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司法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机关打击犯罪提供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产品，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目前，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我们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的业务已经延伸至更多的行政执法部门，为其进行网络空间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秩序监管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和维护提供解决方案</w:t>
            </w:r>
            <w:r w:rsidR="005863A9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未来，我们还将借助政府数据开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放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云服务</w:t>
            </w:r>
            <w:proofErr w:type="gramEnd"/>
            <w:r>
              <w:rPr>
                <w:rFonts w:ascii="宋体" w:hAnsi="宋体"/>
                <w:bCs/>
                <w:iCs/>
                <w:color w:val="000000"/>
                <w:sz w:val="24"/>
              </w:rPr>
              <w:t>进一步为社会大众提供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便民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服务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如征信服务。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、公司的大数据平台建设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优势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回复：公司的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大数据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业务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组建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专门的团队在做。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公司开展大数据平台建设优势：第一在数据技术处理上，公司一直以来处理的数据大多数为非结构化数据，现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用非结构化的思维处理结构化数据比较容易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。二是数据来源包括互联网数据及政府数据，维度多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，数据价值密度高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安全狗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业务</w:t>
            </w:r>
            <w:proofErr w:type="gramEnd"/>
            <w:r>
              <w:rPr>
                <w:rFonts w:ascii="宋体" w:hAnsi="宋体"/>
                <w:bCs/>
                <w:iCs/>
                <w:color w:val="000000"/>
                <w:sz w:val="24"/>
              </w:rPr>
              <w:t>的进展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回复：目前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50%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服务器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都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在云端，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云安全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是未来安全防护领域发展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的重要方向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proofErr w:type="gramStart"/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安全狗</w:t>
            </w:r>
            <w:proofErr w:type="gramEnd"/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利用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互联网思维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，基于“云+端+服务”一体化</w:t>
            </w:r>
            <w:proofErr w:type="spell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SaaS</w:t>
            </w:r>
            <w:proofErr w:type="spell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服务模式为用户提供专业的安全产品、服务及解决方案，顺应趋势的一款产品，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目前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装机量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已达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300余万台。</w:t>
            </w:r>
          </w:p>
          <w:p w:rsidR="004347A3" w:rsidRPr="00EC6472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公司外延并购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规划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是怎样的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4347A3" w:rsidRPr="0074028A" w:rsidRDefault="004347A3" w:rsidP="00FF6FA4">
            <w:pPr>
              <w:tabs>
                <w:tab w:val="center" w:pos="4153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回复：信息安全领域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国内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还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不多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，公司最主要的是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要找到自己的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切合点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。未来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公司会加快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资本合作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步伐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EC6472">
              <w:rPr>
                <w:rFonts w:ascii="宋体" w:hAnsi="宋体" w:hint="eastAsia"/>
                <w:bCs/>
                <w:iCs/>
                <w:color w:val="000000"/>
                <w:sz w:val="24"/>
              </w:rPr>
              <w:t>围绕公司的主营业务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开展投资并购业务，进一步巩固公司在行业地位。</w:t>
            </w:r>
            <w:bookmarkStart w:id="0" w:name="_GoBack"/>
            <w:bookmarkEnd w:id="0"/>
          </w:p>
        </w:tc>
      </w:tr>
      <w:tr w:rsidR="004347A3" w:rsidRPr="00470AEA" w:rsidTr="00FF6FA4">
        <w:trPr>
          <w:trHeight w:val="2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4347A3" w:rsidRPr="00470AEA" w:rsidTr="00FF6FA4">
        <w:trPr>
          <w:trHeight w:val="34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A3" w:rsidRPr="00470AEA" w:rsidRDefault="004347A3" w:rsidP="00FF6FA4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2016年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Pr="00470AE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143DA1" w:rsidRDefault="005863A9"/>
    <w:sectPr w:rsidR="00143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3"/>
    <w:rsid w:val="003236B7"/>
    <w:rsid w:val="004347A3"/>
    <w:rsid w:val="005863A9"/>
    <w:rsid w:val="007812BD"/>
    <w:rsid w:val="00964C40"/>
    <w:rsid w:val="00B808B4"/>
    <w:rsid w:val="00BD34F0"/>
    <w:rsid w:val="00E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3"/>
    <w:pPr>
      <w:widowControl w:val="0"/>
      <w:spacing w:line="480" w:lineRule="atLeast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347A3"/>
    <w:rPr>
      <w:sz w:val="21"/>
      <w:szCs w:val="21"/>
    </w:rPr>
  </w:style>
  <w:style w:type="character" w:customStyle="1" w:styleId="Char">
    <w:name w:val="批注文字 Char"/>
    <w:link w:val="a4"/>
    <w:rsid w:val="004347A3"/>
  </w:style>
  <w:style w:type="paragraph" w:styleId="a4">
    <w:name w:val="annotation text"/>
    <w:basedOn w:val="a"/>
    <w:link w:val="Char"/>
    <w:rsid w:val="004347A3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文字 Char1"/>
    <w:basedOn w:val="a0"/>
    <w:uiPriority w:val="99"/>
    <w:semiHidden/>
    <w:rsid w:val="004347A3"/>
    <w:rPr>
      <w:rFonts w:ascii="Times New Roman" w:eastAsia="宋体" w:hAnsi="Times New Roman" w:cs="Times New Roman"/>
      <w:szCs w:val="20"/>
    </w:rPr>
  </w:style>
  <w:style w:type="paragraph" w:styleId="a5">
    <w:name w:val="Body Text Indent"/>
    <w:basedOn w:val="a"/>
    <w:link w:val="Char0"/>
    <w:rsid w:val="004347A3"/>
    <w:pPr>
      <w:spacing w:after="120"/>
      <w:ind w:leftChars="200" w:left="200"/>
    </w:pPr>
  </w:style>
  <w:style w:type="character" w:customStyle="1" w:styleId="Char0">
    <w:name w:val="正文文本缩进 Char"/>
    <w:basedOn w:val="a0"/>
    <w:link w:val="a5"/>
    <w:rsid w:val="004347A3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4347A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347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3"/>
    <w:pPr>
      <w:widowControl w:val="0"/>
      <w:spacing w:line="480" w:lineRule="atLeast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347A3"/>
    <w:rPr>
      <w:sz w:val="21"/>
      <w:szCs w:val="21"/>
    </w:rPr>
  </w:style>
  <w:style w:type="character" w:customStyle="1" w:styleId="Char">
    <w:name w:val="批注文字 Char"/>
    <w:link w:val="a4"/>
    <w:rsid w:val="004347A3"/>
  </w:style>
  <w:style w:type="paragraph" w:styleId="a4">
    <w:name w:val="annotation text"/>
    <w:basedOn w:val="a"/>
    <w:link w:val="Char"/>
    <w:rsid w:val="004347A3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文字 Char1"/>
    <w:basedOn w:val="a0"/>
    <w:uiPriority w:val="99"/>
    <w:semiHidden/>
    <w:rsid w:val="004347A3"/>
    <w:rPr>
      <w:rFonts w:ascii="Times New Roman" w:eastAsia="宋体" w:hAnsi="Times New Roman" w:cs="Times New Roman"/>
      <w:szCs w:val="20"/>
    </w:rPr>
  </w:style>
  <w:style w:type="paragraph" w:styleId="a5">
    <w:name w:val="Body Text Indent"/>
    <w:basedOn w:val="a"/>
    <w:link w:val="Char0"/>
    <w:rsid w:val="004347A3"/>
    <w:pPr>
      <w:spacing w:after="120"/>
      <w:ind w:leftChars="200" w:left="200"/>
    </w:pPr>
  </w:style>
  <w:style w:type="character" w:customStyle="1" w:styleId="Char0">
    <w:name w:val="正文文本缩进 Char"/>
    <w:basedOn w:val="a0"/>
    <w:link w:val="a5"/>
    <w:rsid w:val="004347A3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4347A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347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2016-07-21T09:04:00Z</dcterms:created>
  <dcterms:modified xsi:type="dcterms:W3CDTF">2016-07-21T09:24:00Z</dcterms:modified>
</cp:coreProperties>
</file>