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8D3424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8D3424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F7DEE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穆迪评级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EF7DE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EF7DE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EF7DEE">
              <w:rPr>
                <w:rFonts w:ascii="Arial" w:hAnsi="Times" w:hint="eastAsia"/>
                <w:bCs/>
                <w:iCs/>
                <w:color w:val="000000"/>
                <w:sz w:val="24"/>
              </w:rPr>
              <w:t>24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F7DE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财务企划部、风险管理部、</w:t>
            </w:r>
            <w:r w:rsidR="007A446E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01559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before="156" w:after="156"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贵行新的三年规划？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  <w:lang w:eastAsia="zh-TW"/>
              </w:rPr>
            </w:pPr>
            <w:r w:rsidRPr="006C5635">
              <w:rPr>
                <w:rFonts w:ascii="Arial" w:eastAsia="华文细黑" w:hAnsi="华文细黑"/>
                <w:lang w:val="zh-CN"/>
              </w:rPr>
              <w:t>未来三年，</w:t>
            </w:r>
            <w:r w:rsidRPr="006C5635">
              <w:rPr>
                <w:rFonts w:ascii="Arial" w:eastAsia="华文细黑" w:hAnsi="华文细黑" w:hint="eastAsia"/>
                <w:lang w:val="zh-CN"/>
              </w:rPr>
              <w:t>我行</w:t>
            </w:r>
            <w:r w:rsidRPr="006C5635">
              <w:rPr>
                <w:rFonts w:ascii="Arial" w:eastAsia="华文细黑" w:hAnsi="华文细黑"/>
                <w:lang w:val="zh-CN"/>
              </w:rPr>
              <w:t>将</w:t>
            </w:r>
            <w:r w:rsidRPr="006C5635">
              <w:rPr>
                <w:rStyle w:val="a8"/>
                <w:rFonts w:ascii="Arial" w:eastAsia="华文细黑" w:hAnsi="华文细黑"/>
              </w:rPr>
              <w:t>以质效提升为中心，</w:t>
            </w:r>
            <w:r w:rsidRPr="006C5635">
              <w:rPr>
                <w:rStyle w:val="a8"/>
                <w:rFonts w:ascii="Arial" w:eastAsia="华文细黑" w:hAnsi="华文细黑" w:hint="eastAsia"/>
              </w:rPr>
              <w:t>实现质量和效益的均衡发展，进而</w:t>
            </w:r>
            <w:r w:rsidRPr="006C5635">
              <w:rPr>
                <w:rStyle w:val="a8"/>
                <w:rFonts w:ascii="Arial" w:eastAsia="华文细黑" w:hAnsi="华文细黑"/>
              </w:rPr>
              <w:t>推动分行转型</w:t>
            </w:r>
            <w:r w:rsidRPr="006C5635">
              <w:rPr>
                <w:rStyle w:val="a8"/>
                <w:rFonts w:ascii="Arial" w:eastAsia="华文细黑" w:hAnsi="华文细黑" w:hint="eastAsia"/>
              </w:rPr>
              <w:t>、</w:t>
            </w:r>
            <w:r w:rsidRPr="006C5635">
              <w:rPr>
                <w:rStyle w:val="a8"/>
                <w:rFonts w:ascii="Arial" w:eastAsia="华文细黑" w:hAnsi="华文细黑"/>
              </w:rPr>
              <w:t>深化事业部改革</w:t>
            </w:r>
            <w:r w:rsidRPr="006C5635">
              <w:rPr>
                <w:rStyle w:val="a8"/>
                <w:rFonts w:ascii="Arial" w:eastAsia="华文细黑" w:hAnsi="华文细黑" w:hint="eastAsia"/>
              </w:rPr>
              <w:t>、</w:t>
            </w:r>
            <w:r w:rsidRPr="006C5635">
              <w:rPr>
                <w:rStyle w:val="a8"/>
                <w:rFonts w:ascii="Arial" w:eastAsia="华文细黑" w:hAnsi="华文细黑"/>
              </w:rPr>
              <w:t>打造精品金融、智慧金融、生态金融</w:t>
            </w:r>
            <w:r w:rsidRPr="006C5635">
              <w:rPr>
                <w:rFonts w:ascii="Arial" w:eastAsia="华文细黑" w:hAnsi="华文细黑"/>
                <w:lang w:val="zh-CN"/>
              </w:rPr>
              <w:t>三张名片</w:t>
            </w:r>
            <w:r w:rsidRPr="006C5635">
              <w:rPr>
                <w:rStyle w:val="a8"/>
                <w:rFonts w:ascii="Arial" w:eastAsia="华文细黑" w:hAnsi="华文细黑"/>
              </w:rPr>
              <w:t>，</w:t>
            </w:r>
            <w:r w:rsidRPr="006C5635">
              <w:rPr>
                <w:rStyle w:val="a8"/>
                <w:rFonts w:ascii="Arial" w:eastAsia="华文细黑" w:hAnsi="华文细黑" w:hint="eastAsia"/>
              </w:rPr>
              <w:t>形成不一样的产品体系和特色业务抓手，围绕客户提供具有生命周期的服务</w:t>
            </w:r>
            <w:r w:rsidRPr="006C5635">
              <w:rPr>
                <w:rStyle w:val="a8"/>
                <w:rFonts w:ascii="Arial" w:eastAsia="华文细黑" w:hAnsi="华文细黑"/>
              </w:rPr>
              <w:t>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贵行交叉销售的情况？</w:t>
            </w:r>
          </w:p>
          <w:p w:rsidR="00EF7DEE" w:rsidRPr="006C5635" w:rsidRDefault="00EF7DEE" w:rsidP="00EF7DEE">
            <w:pPr>
              <w:ind w:firstLine="360"/>
              <w:rPr>
                <w:rStyle w:val="a8"/>
                <w:rFonts w:ascii="Arial" w:eastAsia="华文细黑" w:hAnsi="Arial"/>
              </w:rPr>
            </w:pPr>
            <w:r w:rsidRPr="006C5635">
              <w:rPr>
                <w:rStyle w:val="a8"/>
                <w:rFonts w:ascii="Arial" w:eastAsia="华文细黑" w:hAnsi="华文细黑" w:hint="eastAsia"/>
              </w:rPr>
              <w:t>我行一季度未公告综拓成果，简单描述下</w:t>
            </w:r>
            <w:r w:rsidRPr="006C5635">
              <w:rPr>
                <w:rStyle w:val="a8"/>
                <w:rFonts w:ascii="Arial" w:eastAsia="华文细黑" w:hAnsi="Arial" w:hint="eastAsia"/>
              </w:rPr>
              <w:t>2015</w:t>
            </w:r>
            <w:r w:rsidRPr="006C5635">
              <w:rPr>
                <w:rStyle w:val="a8"/>
                <w:rFonts w:ascii="Arial" w:eastAsia="华文细黑" w:hAnsi="华文细黑" w:hint="eastAsia"/>
              </w:rPr>
              <w:t>年度数据：</w:t>
            </w:r>
          </w:p>
          <w:p w:rsidR="00EF7DEE" w:rsidRPr="006C5635" w:rsidRDefault="00EF7DEE" w:rsidP="00EF7DEE">
            <w:pPr>
              <w:ind w:firstLine="360"/>
              <w:rPr>
                <w:rStyle w:val="a8"/>
                <w:rFonts w:ascii="Arial" w:eastAsia="华文细黑" w:hAnsi="Arial"/>
              </w:rPr>
            </w:pPr>
            <w:r w:rsidRPr="006C5635">
              <w:rPr>
                <w:rStyle w:val="a8"/>
                <w:rFonts w:ascii="Arial" w:eastAsia="华文细黑" w:hAnsi="华文细黑"/>
              </w:rPr>
              <w:t>对公：对公综合开拓渠道营业收入</w:t>
            </w:r>
            <w:r w:rsidRPr="006C5635">
              <w:rPr>
                <w:rStyle w:val="a8"/>
                <w:rFonts w:ascii="Arial" w:eastAsia="华文细黑" w:hAnsi="Arial"/>
              </w:rPr>
              <w:t>12.7</w:t>
            </w:r>
            <w:r w:rsidRPr="006C5635">
              <w:rPr>
                <w:rStyle w:val="a8"/>
                <w:rFonts w:ascii="Arial" w:eastAsia="华文细黑" w:hAnsi="华文细黑"/>
              </w:rPr>
              <w:t>亿元</w:t>
            </w:r>
            <w:r w:rsidRPr="006C5635">
              <w:rPr>
                <w:rStyle w:val="a8"/>
                <w:rFonts w:ascii="Arial" w:eastAsia="华文细黑" w:hAnsi="华文细黑" w:hint="eastAsia"/>
              </w:rPr>
              <w:t>，</w:t>
            </w:r>
            <w:r w:rsidRPr="006C5635">
              <w:rPr>
                <w:rStyle w:val="a8"/>
                <w:rFonts w:ascii="Arial" w:eastAsia="华文细黑" w:hAnsi="华文细黑"/>
              </w:rPr>
              <w:t>非利息净收入</w:t>
            </w:r>
            <w:r w:rsidRPr="006C5635">
              <w:rPr>
                <w:rStyle w:val="a8"/>
                <w:rFonts w:ascii="Arial" w:eastAsia="华文细黑" w:hAnsi="Arial" w:hint="eastAsia"/>
              </w:rPr>
              <w:t>3.91</w:t>
            </w:r>
            <w:r w:rsidRPr="006C5635">
              <w:rPr>
                <w:rStyle w:val="a8"/>
                <w:rFonts w:ascii="Arial" w:eastAsia="华文细黑" w:hAnsi="华文细黑"/>
              </w:rPr>
              <w:t>亿元，存款日均</w:t>
            </w:r>
            <w:r w:rsidRPr="006C5635">
              <w:rPr>
                <w:rStyle w:val="a8"/>
                <w:rFonts w:ascii="Arial" w:eastAsia="华文细黑" w:hAnsi="Arial"/>
              </w:rPr>
              <w:t>308</w:t>
            </w:r>
            <w:r w:rsidRPr="006C5635">
              <w:rPr>
                <w:rStyle w:val="a8"/>
                <w:rFonts w:ascii="Arial" w:eastAsia="华文细黑" w:hAnsi="华文细黑"/>
              </w:rPr>
              <w:t>亿元，较年初增幅</w:t>
            </w:r>
            <w:r w:rsidRPr="006C5635">
              <w:rPr>
                <w:rStyle w:val="a8"/>
                <w:rFonts w:ascii="Arial" w:eastAsia="华文细黑" w:hAnsi="Arial"/>
              </w:rPr>
              <w:t>35%</w:t>
            </w:r>
            <w:r w:rsidRPr="006C5635">
              <w:rPr>
                <w:rStyle w:val="a8"/>
                <w:rFonts w:ascii="Arial" w:eastAsia="华文细黑" w:hAnsi="华文细黑"/>
              </w:rPr>
              <w:t>。其中集团内专业子公司贡献托管业务份额突破万亿元，规模占比</w:t>
            </w:r>
            <w:r w:rsidRPr="006C5635">
              <w:rPr>
                <w:rStyle w:val="a8"/>
                <w:rFonts w:ascii="Arial" w:eastAsia="华文细黑" w:hAnsi="Arial"/>
              </w:rPr>
              <w:t>31%</w:t>
            </w:r>
            <w:r w:rsidRPr="006C5635">
              <w:rPr>
                <w:rStyle w:val="a8"/>
                <w:rFonts w:ascii="Arial" w:eastAsia="华文细黑" w:hAnsi="华文细黑"/>
              </w:rPr>
              <w:t>以上。银行和平安投资系列合作新增落地项目</w:t>
            </w:r>
            <w:r w:rsidRPr="006C5635">
              <w:rPr>
                <w:rStyle w:val="a8"/>
                <w:rFonts w:ascii="Arial" w:eastAsia="华文细黑" w:hAnsi="Arial"/>
              </w:rPr>
              <w:t>121</w:t>
            </w:r>
            <w:r w:rsidRPr="006C5635">
              <w:rPr>
                <w:rStyle w:val="a8"/>
                <w:rFonts w:ascii="Arial" w:eastAsia="华文细黑" w:hAnsi="华文细黑"/>
              </w:rPr>
              <w:t>个，新增投资规模</w:t>
            </w:r>
            <w:r w:rsidRPr="006C5635">
              <w:rPr>
                <w:rStyle w:val="a8"/>
                <w:rFonts w:ascii="Arial" w:eastAsia="华文细黑" w:hAnsi="Arial"/>
              </w:rPr>
              <w:t>1,500</w:t>
            </w:r>
            <w:r w:rsidRPr="006C5635">
              <w:rPr>
                <w:rStyle w:val="a8"/>
                <w:rFonts w:ascii="Arial" w:eastAsia="华文细黑" w:hAnsi="华文细黑"/>
              </w:rPr>
              <w:t>亿元，为银行带来</w:t>
            </w:r>
            <w:r w:rsidRPr="006C5635">
              <w:rPr>
                <w:rStyle w:val="a8"/>
                <w:rFonts w:ascii="Arial" w:eastAsia="华文细黑" w:hAnsi="Arial"/>
              </w:rPr>
              <w:t>8</w:t>
            </w:r>
            <w:r w:rsidRPr="006C5635">
              <w:rPr>
                <w:rStyle w:val="a8"/>
                <w:rFonts w:ascii="Arial" w:eastAsia="华文细黑" w:hAnsi="华文细黑"/>
              </w:rPr>
              <w:t>亿元营业收入。</w:t>
            </w:r>
          </w:p>
          <w:p w:rsidR="00EF7DEE" w:rsidRPr="006C5635" w:rsidRDefault="00EF7DEE" w:rsidP="00EF7DEE">
            <w:pPr>
              <w:ind w:firstLine="360"/>
              <w:rPr>
                <w:rStyle w:val="a8"/>
                <w:rFonts w:ascii="Arial" w:eastAsia="华文细黑" w:hAnsi="Arial"/>
              </w:rPr>
            </w:pPr>
            <w:r w:rsidRPr="006C5635">
              <w:rPr>
                <w:rStyle w:val="a8"/>
                <w:rFonts w:ascii="Arial" w:eastAsia="华文细黑" w:hAnsi="华文细黑"/>
              </w:rPr>
              <w:t>零售：财富客户</w:t>
            </w:r>
            <w:r w:rsidRPr="006C5635">
              <w:rPr>
                <w:rStyle w:val="a8"/>
                <w:rFonts w:ascii="Arial" w:eastAsia="华文细黑" w:hAnsi="华文细黑" w:hint="eastAsia"/>
              </w:rPr>
              <w:t>数及</w:t>
            </w:r>
            <w:r w:rsidRPr="006C5635">
              <w:rPr>
                <w:rStyle w:val="a8"/>
                <w:rFonts w:ascii="Arial" w:eastAsia="华文细黑" w:hAnsi="华文细黑"/>
              </w:rPr>
              <w:t>资产较年</w:t>
            </w:r>
            <w:r w:rsidRPr="006C5635">
              <w:rPr>
                <w:rStyle w:val="a8"/>
                <w:rFonts w:ascii="Arial" w:eastAsia="华文细黑" w:hAnsi="华文细黑" w:hint="eastAsia"/>
              </w:rPr>
              <w:t>初增加</w:t>
            </w:r>
            <w:r w:rsidRPr="006C5635">
              <w:rPr>
                <w:rStyle w:val="a8"/>
                <w:rFonts w:ascii="Arial" w:eastAsia="华文细黑" w:hAnsi="华文细黑"/>
              </w:rPr>
              <w:t>，新获客户均资产继续大幅提升，对全行的新增客户、财富客户数、资产和存款贡献度占比分别达</w:t>
            </w:r>
            <w:r w:rsidRPr="006C5635">
              <w:rPr>
                <w:rStyle w:val="a8"/>
                <w:rFonts w:ascii="Arial" w:eastAsia="华文细黑" w:hAnsi="Arial"/>
              </w:rPr>
              <w:t>8%</w:t>
            </w:r>
            <w:r w:rsidRPr="006C5635">
              <w:rPr>
                <w:rStyle w:val="a8"/>
                <w:rFonts w:ascii="Arial" w:eastAsia="华文细黑" w:hAnsi="华文细黑"/>
              </w:rPr>
              <w:t>、</w:t>
            </w:r>
            <w:r w:rsidRPr="006C5635">
              <w:rPr>
                <w:rStyle w:val="a8"/>
                <w:rFonts w:ascii="Arial" w:eastAsia="华文细黑" w:hAnsi="Arial"/>
              </w:rPr>
              <w:t>35%</w:t>
            </w:r>
            <w:r w:rsidRPr="006C5635">
              <w:rPr>
                <w:rStyle w:val="a8"/>
                <w:rFonts w:ascii="Arial" w:eastAsia="华文细黑" w:hAnsi="华文细黑"/>
              </w:rPr>
              <w:t>、</w:t>
            </w:r>
            <w:r w:rsidRPr="006C5635">
              <w:rPr>
                <w:rStyle w:val="a8"/>
                <w:rFonts w:ascii="Arial" w:eastAsia="华文细黑" w:hAnsi="Arial"/>
              </w:rPr>
              <w:t>29%</w:t>
            </w:r>
            <w:r w:rsidRPr="006C5635">
              <w:rPr>
                <w:rStyle w:val="a8"/>
                <w:rFonts w:ascii="Arial" w:eastAsia="华文细黑" w:hAnsi="华文细黑"/>
              </w:rPr>
              <w:t>和</w:t>
            </w:r>
            <w:r w:rsidRPr="006C5635">
              <w:rPr>
                <w:rStyle w:val="a8"/>
                <w:rFonts w:ascii="Arial" w:eastAsia="华文细黑" w:hAnsi="Arial"/>
              </w:rPr>
              <w:t>44%</w:t>
            </w:r>
            <w:r w:rsidRPr="006C5635">
              <w:rPr>
                <w:rStyle w:val="a8"/>
                <w:rFonts w:ascii="Arial" w:eastAsia="华文细黑" w:hAnsi="华文细黑"/>
              </w:rPr>
              <w:t>；信用卡通过交叉销售渠道获客占新增发卡量的约</w:t>
            </w:r>
            <w:r w:rsidRPr="006C5635">
              <w:rPr>
                <w:rStyle w:val="a8"/>
                <w:rFonts w:ascii="Arial" w:eastAsia="华文细黑" w:hAnsi="Arial"/>
              </w:rPr>
              <w:t>33%</w:t>
            </w:r>
            <w:r w:rsidRPr="006C5635">
              <w:rPr>
                <w:rStyle w:val="a8"/>
                <w:rFonts w:ascii="Arial" w:eastAsia="华文细黑" w:hAnsi="华文细黑"/>
              </w:rPr>
              <w:t>；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贵行客户迁徙的情况？</w:t>
            </w:r>
          </w:p>
          <w:p w:rsidR="00EF7DEE" w:rsidRPr="006C5635" w:rsidRDefault="00EF7DEE" w:rsidP="00EF7DEE">
            <w:pPr>
              <w:ind w:firstLine="360"/>
              <w:rPr>
                <w:rStyle w:val="a8"/>
                <w:rFonts w:ascii="Arial" w:eastAsia="华文细黑" w:hAnsi="Arial"/>
              </w:rPr>
            </w:pPr>
            <w:r w:rsidRPr="006C5635">
              <w:rPr>
                <w:rStyle w:val="a8"/>
                <w:rFonts w:ascii="Arial" w:eastAsia="华文细黑" w:hAnsi="Arial" w:hint="eastAsia"/>
              </w:rPr>
              <w:t>2015</w:t>
            </w:r>
            <w:r w:rsidRPr="006C5635">
              <w:rPr>
                <w:rStyle w:val="a8"/>
                <w:rFonts w:ascii="Arial" w:eastAsia="华文细黑" w:hAnsi="华文细黑" w:hint="eastAsia"/>
              </w:rPr>
              <w:t>年零售</w:t>
            </w:r>
            <w:r w:rsidRPr="006C5635">
              <w:rPr>
                <w:rStyle w:val="a8"/>
                <w:rFonts w:ascii="Arial" w:eastAsia="华文细黑" w:hAnsi="华文细黑"/>
              </w:rPr>
              <w:t>综拓渠道迁徙客户</w:t>
            </w:r>
            <w:r w:rsidRPr="006C5635">
              <w:rPr>
                <w:rStyle w:val="a8"/>
                <w:rFonts w:ascii="Arial" w:eastAsia="华文细黑" w:hAnsi="Arial"/>
              </w:rPr>
              <w:t>109</w:t>
            </w:r>
            <w:r w:rsidRPr="006C5635">
              <w:rPr>
                <w:rStyle w:val="a8"/>
                <w:rFonts w:ascii="Arial" w:eastAsia="华文细黑" w:hAnsi="华文细黑"/>
              </w:rPr>
              <w:t>万，迁徙活动成效显著，</w:t>
            </w:r>
            <w:r w:rsidRPr="006C5635">
              <w:rPr>
                <w:rStyle w:val="a8"/>
                <w:rFonts w:ascii="Arial" w:eastAsia="华文细黑" w:hAnsi="Arial"/>
              </w:rPr>
              <w:t>2016</w:t>
            </w:r>
            <w:r w:rsidRPr="006C5635">
              <w:rPr>
                <w:rStyle w:val="a8"/>
                <w:rFonts w:ascii="Arial" w:eastAsia="华文细黑" w:hAnsi="华文细黑"/>
              </w:rPr>
              <w:t>年</w:t>
            </w:r>
            <w:r w:rsidRPr="006C5635">
              <w:rPr>
                <w:rStyle w:val="a8"/>
                <w:rFonts w:ascii="Arial" w:eastAsia="华文细黑" w:hAnsi="华文细黑"/>
              </w:rPr>
              <w:lastRenderedPageBreak/>
              <w:t>除传统模式的客户资源迁徙投入外，不断加强与集团互联网子公司及外部互联网平台的合作，探索</w:t>
            </w:r>
            <w:r w:rsidRPr="006C5635">
              <w:rPr>
                <w:rStyle w:val="a8"/>
                <w:rFonts w:ascii="Arial" w:eastAsia="华文细黑" w:hAnsi="Arial"/>
              </w:rPr>
              <w:t xml:space="preserve"> “</w:t>
            </w:r>
            <w:r w:rsidRPr="006C5635">
              <w:rPr>
                <w:rStyle w:val="a8"/>
                <w:rFonts w:ascii="Arial" w:eastAsia="华文细黑" w:hAnsi="华文细黑"/>
              </w:rPr>
              <w:t>互联网</w:t>
            </w:r>
            <w:r w:rsidRPr="006C5635">
              <w:rPr>
                <w:rStyle w:val="a8"/>
                <w:rFonts w:ascii="Arial" w:eastAsia="华文细黑" w:hAnsi="Arial"/>
              </w:rPr>
              <w:t>+”</w:t>
            </w:r>
            <w:r w:rsidRPr="006C5635">
              <w:rPr>
                <w:rStyle w:val="a8"/>
                <w:rFonts w:ascii="Arial" w:eastAsia="华文细黑" w:hAnsi="华文细黑"/>
              </w:rPr>
              <w:t>的客户迁徙新模式。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  <w:b/>
                <w:sz w:val="22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银保情况？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Style w:val="a8"/>
                <w:rFonts w:ascii="Arial" w:eastAsia="华文细黑" w:hAnsi="华文细黑"/>
              </w:rPr>
              <w:t>零售全渠道代销集团保险累计实现非利息净</w:t>
            </w:r>
            <w:r w:rsidRPr="006C5635">
              <w:rPr>
                <w:rStyle w:val="a8"/>
                <w:rFonts w:ascii="Arial" w:eastAsia="华文细黑" w:hAnsi="华文细黑" w:hint="eastAsia"/>
              </w:rPr>
              <w:t>收入</w:t>
            </w:r>
            <w:r w:rsidRPr="006C5635">
              <w:rPr>
                <w:rStyle w:val="a8"/>
                <w:rFonts w:ascii="Arial" w:eastAsia="华文细黑" w:hAnsi="Arial"/>
              </w:rPr>
              <w:t>6.07</w:t>
            </w:r>
            <w:r w:rsidRPr="006C5635">
              <w:rPr>
                <w:rStyle w:val="a8"/>
                <w:rFonts w:ascii="Arial" w:eastAsia="华文细黑" w:hAnsi="华文细黑"/>
              </w:rPr>
              <w:t>亿元</w:t>
            </w:r>
            <w:r w:rsidRPr="006C5635">
              <w:rPr>
                <w:rStyle w:val="a8"/>
                <w:rFonts w:ascii="Arial" w:eastAsia="华文细黑" w:hAnsi="华文细黑" w:hint="eastAsia"/>
              </w:rPr>
              <w:t>，较年初实现大幅增长。未来将加强与集团子公司的合作，增加银保对中收的贡献程度。目前平安为我行独家代理，主要销售产品为收益较好的长期限的银保产品。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/>
                <w:b/>
                <w:sz w:val="22"/>
              </w:rPr>
              <w:t>平安集</w:t>
            </w:r>
            <w:r w:rsidRPr="006C5635">
              <w:rPr>
                <w:rFonts w:ascii="Arial" w:eastAsia="华文细黑" w:hAnsi="华文细黑" w:hint="eastAsia"/>
                <w:b/>
                <w:sz w:val="22"/>
              </w:rPr>
              <w:t>团对平安银行是否设定了年度的回报</w:t>
            </w:r>
            <w:r w:rsidRPr="006C5635">
              <w:rPr>
                <w:rFonts w:ascii="Arial" w:eastAsia="华文细黑" w:hAnsi="Arial"/>
                <w:b/>
                <w:sz w:val="22"/>
              </w:rPr>
              <w:t>/</w:t>
            </w:r>
            <w:r w:rsidRPr="006C5635">
              <w:rPr>
                <w:rFonts w:ascii="Arial" w:eastAsia="华文细黑" w:hAnsi="华文细黑"/>
                <w:b/>
                <w:sz w:val="22"/>
              </w:rPr>
              <w:t>收入目</w:t>
            </w:r>
            <w:r w:rsidRPr="006C5635">
              <w:rPr>
                <w:rFonts w:ascii="Arial" w:eastAsia="华文细黑" w:hAnsi="华文细黑" w:hint="eastAsia"/>
                <w:b/>
                <w:sz w:val="22"/>
              </w:rPr>
              <w:t>标和业务增长目标？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集团作为我行的大股东，在我行董事会是有股东董事参与到我们董事会层面的工作中。在董事会正常运行中，股东董事也会将股东的诉求在董事会层面进行探讨，从而参与到银行的经营管理中。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贵行事业部转型情况？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目前我行已经成立了八大事业部覆盖了九大行业，包括有：地产金融、能源矿产、现代物流、交通金融、现代农业、医疗文化、装备制造、电子信息等，事业部和分行采用全面双计考核，使得事业部制度得以顺利实施。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未来三年我们将继续深化事业部改革，明晰各类事业部定位、厘清分行和事业部以及事业部和事业部直接的业务和只能边界、完善机构间的协作机制。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中间业务收入未来增长趋势？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华文细黑"/>
              </w:rPr>
            </w:pPr>
            <w:r w:rsidRPr="006C5635">
              <w:rPr>
                <w:rFonts w:ascii="Arial" w:eastAsia="华文细黑" w:hAnsi="华文细黑" w:hint="eastAsia"/>
              </w:rPr>
              <w:t>今年一季度我</w:t>
            </w:r>
            <w:proofErr w:type="gramStart"/>
            <w:r w:rsidRPr="006C5635">
              <w:rPr>
                <w:rFonts w:ascii="Arial" w:eastAsia="华文细黑" w:hAnsi="华文细黑" w:hint="eastAsia"/>
              </w:rPr>
              <w:t>行非息收入</w:t>
            </w:r>
            <w:proofErr w:type="gramEnd"/>
            <w:r w:rsidRPr="006C5635">
              <w:rPr>
                <w:rFonts w:ascii="Arial" w:eastAsia="华文细黑" w:hAnsi="华文细黑" w:hint="eastAsia"/>
              </w:rPr>
              <w:t>同比增速</w:t>
            </w:r>
            <w:r w:rsidRPr="006C5635">
              <w:rPr>
                <w:rFonts w:ascii="Arial" w:eastAsia="华文细黑" w:hAnsi="Arial" w:hint="eastAsia"/>
              </w:rPr>
              <w:t>65%</w:t>
            </w:r>
            <w:r w:rsidRPr="006C5635">
              <w:rPr>
                <w:rFonts w:ascii="Arial" w:eastAsia="华文细黑" w:hAnsi="华文细黑" w:hint="eastAsia"/>
              </w:rPr>
              <w:t>。往年非息这块由于历史基数较低，均实现翻倍增长的态势，但经过几年的发展，非息基数已经上去了，预计今年翻倍的可能性不大。当然，中收的增长也受到一些监管政策的影响，例如监管禁止银行收取部分手续费收入、影子银行监管严格等都会减少中间业务的收入。产业基金、投行业务、银行卡业务等等方面将会是未来中收的主要来源。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产业基金的风险偏好？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关于产业基金，我行在经济下行的时候抓住了部分朝阳产业，包含医疗、健康、科技等方面的企业。银行相对是比较保守的，因此风险偏向较低，基本上持有的都是优先级别部分。在整个产业基金的运作过程中，银行赚取中间业务收入，通过这种新的形式可以增加我行市场份额、沉淀资金、获取优质客户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产业基金不良情况？</w:t>
            </w:r>
          </w:p>
          <w:p w:rsidR="00EF7DEE" w:rsidRPr="006C5635" w:rsidRDefault="00EF7DEE" w:rsidP="00EF7DEE">
            <w:pPr>
              <w:ind w:firstLine="42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目前我</w:t>
            </w:r>
            <w:proofErr w:type="gramStart"/>
            <w:r w:rsidRPr="006C5635">
              <w:rPr>
                <w:rFonts w:ascii="Arial" w:eastAsia="华文细黑" w:hAnsi="华文细黑" w:hint="eastAsia"/>
              </w:rPr>
              <w:t>行产业</w:t>
            </w:r>
            <w:proofErr w:type="gramEnd"/>
            <w:r w:rsidRPr="006C5635">
              <w:rPr>
                <w:rFonts w:ascii="Arial" w:eastAsia="华文细黑" w:hAnsi="华文细黑" w:hint="eastAsia"/>
              </w:rPr>
              <w:t>基金运行良好，没有发现不良。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在目前经济形式下，银行重点选择哪些行业？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未来我行将会</w:t>
            </w:r>
            <w:r w:rsidRPr="006C5635">
              <w:rPr>
                <w:rFonts w:asciiTheme="minorHAnsi" w:eastAsia="华文细黑" w:hAnsi="华文细黑" w:hint="eastAsia"/>
                <w:kern w:val="2"/>
              </w:rPr>
              <w:t>大力发展主流企业授信业务，抓住产业升级及并购重组</w:t>
            </w:r>
            <w:r w:rsidRPr="006C5635">
              <w:rPr>
                <w:rFonts w:asciiTheme="minorHAnsi" w:eastAsia="华文细黑" w:hAnsi="华文细黑" w:hint="eastAsia"/>
                <w:kern w:val="2"/>
              </w:rPr>
              <w:lastRenderedPageBreak/>
              <w:t>中的业务机遇；顺应我国企业</w:t>
            </w:r>
            <w:r w:rsidRPr="006C5635">
              <w:rPr>
                <w:rFonts w:asciiTheme="minorHAnsi" w:eastAsia="华文细黑" w:hAnsi="华文细黑"/>
                <w:kern w:val="2"/>
              </w:rPr>
              <w:t>“</w:t>
            </w:r>
            <w:r w:rsidRPr="006C5635">
              <w:rPr>
                <w:rFonts w:asciiTheme="minorHAnsi" w:eastAsia="华文细黑" w:hAnsi="华文细黑" w:hint="eastAsia"/>
                <w:kern w:val="2"/>
              </w:rPr>
              <w:t>走出去</w:t>
            </w:r>
            <w:r w:rsidRPr="006C5635">
              <w:rPr>
                <w:rFonts w:asciiTheme="minorHAnsi" w:eastAsia="华文细黑" w:hAnsi="华文细黑"/>
                <w:kern w:val="2"/>
              </w:rPr>
              <w:t>”</w:t>
            </w:r>
            <w:r w:rsidRPr="006C5635">
              <w:rPr>
                <w:rFonts w:asciiTheme="minorHAnsi" w:eastAsia="华文细黑" w:hAnsi="华文细黑" w:hint="eastAsia"/>
                <w:kern w:val="2"/>
              </w:rPr>
              <w:t>战略和自贸</w:t>
            </w:r>
            <w:proofErr w:type="gramStart"/>
            <w:r w:rsidRPr="006C5635">
              <w:rPr>
                <w:rFonts w:asciiTheme="minorHAnsi" w:eastAsia="华文细黑" w:hAnsi="华文细黑" w:hint="eastAsia"/>
                <w:kern w:val="2"/>
              </w:rPr>
              <w:t>区开放</w:t>
            </w:r>
            <w:proofErr w:type="gramEnd"/>
            <w:r w:rsidRPr="006C5635">
              <w:rPr>
                <w:rFonts w:asciiTheme="minorHAnsi" w:eastAsia="华文细黑" w:hAnsi="华文细黑" w:hint="eastAsia"/>
                <w:kern w:val="2"/>
              </w:rPr>
              <w:t>趋势，大力发展跨境金融业务</w:t>
            </w:r>
            <w:r w:rsidRPr="006C5635">
              <w:rPr>
                <w:rFonts w:eastAsia="华文细黑" w:hAnsi="华文细黑" w:hint="eastAsia"/>
              </w:rPr>
              <w:t>等。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目前大型企业也频频出现信贷危机，贵行如何选择？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首先我们选择的都是优质大客户，在行业选择方面，也都是和衣食住行玩等相关的大消费、弱周期行业。对于低端制造业、“两高一剩”、无市场竞争力的企业等均不参与。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贵行房地产贷款情况？</w:t>
            </w:r>
          </w:p>
          <w:p w:rsidR="00EF7DEE" w:rsidRPr="006C5635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我行房地产相关贷款均由我行地产金融事业部负责，实行名单制管理，并派驻专业的风险管理团队。所有地产金融事业负责的房地产相关贷款</w:t>
            </w:r>
            <w:r w:rsidRPr="006C5635">
              <w:rPr>
                <w:rFonts w:ascii="Arial" w:eastAsia="华文细黑" w:hAnsi="华文细黑"/>
              </w:rPr>
              <w:t>资产质量良好，无不良。</w:t>
            </w:r>
          </w:p>
          <w:p w:rsidR="00EF7DEE" w:rsidRPr="006C5635" w:rsidRDefault="00EF7DEE" w:rsidP="00EF7DEE">
            <w:pPr>
              <w:rPr>
                <w:rFonts w:ascii="Arial" w:eastAsia="华文细黑" w:hAnsi="Arial"/>
              </w:rPr>
            </w:pPr>
          </w:p>
          <w:p w:rsidR="00EF7DEE" w:rsidRPr="006C5635" w:rsidRDefault="00EF7DEE" w:rsidP="00EF7DEE">
            <w:pPr>
              <w:pStyle w:val="a6"/>
              <w:numPr>
                <w:ilvl w:val="0"/>
                <w:numId w:val="23"/>
              </w:numPr>
              <w:spacing w:line="288" w:lineRule="auto"/>
              <w:ind w:firstLineChars="0"/>
              <w:rPr>
                <w:rFonts w:ascii="Arial" w:eastAsia="华文细黑" w:hAnsi="Arial"/>
                <w:b/>
                <w:sz w:val="22"/>
              </w:rPr>
            </w:pPr>
            <w:r w:rsidRPr="006C5635">
              <w:rPr>
                <w:rFonts w:ascii="Arial" w:eastAsia="华文细黑" w:hAnsi="华文细黑" w:hint="eastAsia"/>
                <w:b/>
                <w:sz w:val="22"/>
              </w:rPr>
              <w:t>贵行的外汇服务？</w:t>
            </w:r>
          </w:p>
          <w:p w:rsidR="00EF7DEE" w:rsidRPr="005A0D2F" w:rsidRDefault="00EF7DEE" w:rsidP="00EF7DEE">
            <w:pPr>
              <w:ind w:firstLine="360"/>
              <w:rPr>
                <w:rFonts w:ascii="Arial" w:eastAsia="华文细黑" w:hAnsi="Arial"/>
              </w:rPr>
            </w:pPr>
            <w:r w:rsidRPr="006C5635">
              <w:rPr>
                <w:rFonts w:ascii="Arial" w:eastAsia="华文细黑" w:hAnsi="华文细黑" w:hint="eastAsia"/>
              </w:rPr>
              <w:t>我行是最早拥有离岸业务牌照的四家银行之一，现在积极推出跨境</w:t>
            </w:r>
            <w:r w:rsidRPr="006C5635">
              <w:rPr>
                <w:rFonts w:ascii="Arial" w:eastAsia="华文细黑" w:hAnsi="Arial" w:hint="eastAsia"/>
              </w:rPr>
              <w:t>e</w:t>
            </w:r>
            <w:r w:rsidRPr="006C5635">
              <w:rPr>
                <w:rFonts w:ascii="Arial" w:eastAsia="华文细黑" w:hAnsi="华文细黑" w:hint="eastAsia"/>
              </w:rPr>
              <w:t>金融，未来会继续</w:t>
            </w:r>
            <w:r w:rsidRPr="006C5635">
              <w:rPr>
                <w:rFonts w:ascii="Arial" w:eastAsia="华文细黑" w:hAnsi="华文细黑"/>
              </w:rPr>
              <w:t>重点拓展跨境投融资业务、完善离岸金融四大产品体系、发展自贸</w:t>
            </w:r>
            <w:proofErr w:type="gramStart"/>
            <w:r w:rsidRPr="006C5635">
              <w:rPr>
                <w:rFonts w:ascii="Arial" w:eastAsia="华文细黑" w:hAnsi="华文细黑"/>
              </w:rPr>
              <w:t>区特色</w:t>
            </w:r>
            <w:proofErr w:type="gramEnd"/>
            <w:r w:rsidRPr="006C5635">
              <w:rPr>
                <w:rFonts w:ascii="Arial" w:eastAsia="华文细黑" w:hAnsi="华文细黑"/>
              </w:rPr>
              <w:t>业务，为企业提供跨境投融资及交易的全方位服务，成为国内跨境金融服务领先者</w:t>
            </w:r>
            <w:r w:rsidRPr="006C5635">
              <w:rPr>
                <w:rFonts w:ascii="Arial" w:eastAsia="华文细黑" w:hAnsi="华文细黑" w:hint="eastAsia"/>
              </w:rPr>
              <w:t>。</w:t>
            </w:r>
          </w:p>
          <w:p w:rsidR="00217D1A" w:rsidRPr="00EF7DEE" w:rsidRDefault="00217D1A" w:rsidP="008D3424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AC633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AC6336">
              <w:rPr>
                <w:rFonts w:ascii="Arial" w:hAnsi="Times" w:hint="eastAsia"/>
                <w:bCs/>
                <w:iCs/>
                <w:color w:val="000000"/>
                <w:sz w:val="24"/>
              </w:rPr>
              <w:t>一</w:t>
            </w:r>
            <w:r w:rsidR="00701559">
              <w:rPr>
                <w:rFonts w:ascii="Arial" w:hAnsi="Times" w:hint="eastAsia"/>
                <w:bCs/>
                <w:iCs/>
                <w:color w:val="000000"/>
                <w:sz w:val="24"/>
              </w:rPr>
              <w:t>季度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EF7DEE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EF7DEE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="00EF7DEE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46" w:rsidRDefault="00F60746" w:rsidP="00D96584">
      <w:r>
        <w:separator/>
      </w:r>
    </w:p>
  </w:endnote>
  <w:endnote w:type="continuationSeparator" w:id="0">
    <w:p w:rsidR="00F60746" w:rsidRDefault="00F60746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46" w:rsidRDefault="00F60746" w:rsidP="00D96584">
      <w:r>
        <w:separator/>
      </w:r>
    </w:p>
  </w:footnote>
  <w:footnote w:type="continuationSeparator" w:id="0">
    <w:p w:rsidR="00F60746" w:rsidRDefault="00F60746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8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9"/>
  </w:num>
  <w:num w:numId="13">
    <w:abstractNumId w:val="7"/>
  </w:num>
  <w:num w:numId="14">
    <w:abstractNumId w:val="22"/>
  </w:num>
  <w:num w:numId="15">
    <w:abstractNumId w:val="14"/>
  </w:num>
  <w:num w:numId="16">
    <w:abstractNumId w:val="15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879F9"/>
    <w:rsid w:val="006A1753"/>
    <w:rsid w:val="006F64B3"/>
    <w:rsid w:val="00701559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F13CD"/>
    <w:rsid w:val="00A06B39"/>
    <w:rsid w:val="00A140B8"/>
    <w:rsid w:val="00A253E3"/>
    <w:rsid w:val="00AB47CE"/>
    <w:rsid w:val="00AB67BB"/>
    <w:rsid w:val="00AC6336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60746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rsid w:val="00AC6336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1813</Characters>
  <Application>Microsoft Office Word</Application>
  <DocSecurity>0</DocSecurity>
  <Lines>15</Lines>
  <Paragraphs>4</Paragraphs>
  <ScaleCrop>false</ScaleCrop>
  <Company>sdb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2016-07-25T08:59:00Z</dcterms:created>
  <dcterms:modified xsi:type="dcterms:W3CDTF">2016-07-25T09:05:00Z</dcterms:modified>
</cp:coreProperties>
</file>