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D0" w:rsidRPr="006A623C" w:rsidRDefault="000F6263">
      <w:pPr>
        <w:rPr>
          <w:rFonts w:ascii="Calibri" w:hAnsi="Calibri"/>
          <w:b/>
          <w:sz w:val="28"/>
          <w:szCs w:val="28"/>
        </w:rPr>
      </w:pPr>
      <w:r w:rsidRPr="006A623C">
        <w:rPr>
          <w:rFonts w:ascii="Calibri" w:hAnsi="Calibri"/>
          <w:b/>
          <w:sz w:val="28"/>
          <w:szCs w:val="28"/>
        </w:rPr>
        <w:t xml:space="preserve"> </w:t>
      </w:r>
    </w:p>
    <w:p w:rsidR="00A266D0" w:rsidRPr="001C752C" w:rsidRDefault="000F6263">
      <w:pPr>
        <w:rPr>
          <w:rFonts w:ascii="Calibri" w:hAnsi="Calibri"/>
          <w:bCs/>
          <w:iCs/>
          <w:sz w:val="24"/>
        </w:rPr>
      </w:pPr>
      <w:r w:rsidRPr="001C752C">
        <w:rPr>
          <w:rFonts w:ascii="Calibri" w:hAnsi="Calibri"/>
          <w:bCs/>
          <w:iCs/>
          <w:sz w:val="24"/>
        </w:rPr>
        <w:t>证券代码：</w:t>
      </w:r>
      <w:r w:rsidRPr="001C752C">
        <w:rPr>
          <w:rFonts w:ascii="Calibri" w:hAnsi="Calibri"/>
          <w:bCs/>
          <w:iCs/>
          <w:sz w:val="24"/>
        </w:rPr>
        <w:t xml:space="preserve">300048                                   </w:t>
      </w:r>
      <w:r w:rsidRPr="001C752C">
        <w:rPr>
          <w:rFonts w:ascii="Calibri" w:hAnsi="Calibri"/>
          <w:bCs/>
          <w:iCs/>
          <w:sz w:val="24"/>
        </w:rPr>
        <w:t>证券简称：</w:t>
      </w:r>
      <w:proofErr w:type="gramStart"/>
      <w:r w:rsidRPr="001C752C">
        <w:rPr>
          <w:rFonts w:ascii="Calibri" w:hAnsi="Calibri"/>
          <w:bCs/>
          <w:iCs/>
          <w:sz w:val="24"/>
        </w:rPr>
        <w:t>合康变频</w:t>
      </w:r>
      <w:proofErr w:type="gramEnd"/>
    </w:p>
    <w:p w:rsidR="00A266D0" w:rsidRPr="001C752C" w:rsidRDefault="00A266D0" w:rsidP="00F70BB3">
      <w:pPr>
        <w:spacing w:beforeLines="50" w:afterLines="50" w:line="400" w:lineRule="exact"/>
        <w:jc w:val="center"/>
        <w:rPr>
          <w:rFonts w:ascii="Calibri" w:hAnsi="Calibri"/>
          <w:b/>
          <w:bCs/>
          <w:iCs/>
          <w:sz w:val="32"/>
          <w:szCs w:val="32"/>
        </w:rPr>
      </w:pPr>
    </w:p>
    <w:p w:rsidR="00A266D0" w:rsidRPr="001C752C" w:rsidRDefault="000F6263" w:rsidP="00F70BB3">
      <w:pPr>
        <w:spacing w:beforeLines="50" w:afterLines="50" w:line="400" w:lineRule="exact"/>
        <w:jc w:val="center"/>
        <w:rPr>
          <w:rFonts w:ascii="Calibri" w:hAnsi="Calibri"/>
          <w:b/>
          <w:bCs/>
          <w:iCs/>
          <w:sz w:val="32"/>
          <w:szCs w:val="32"/>
        </w:rPr>
      </w:pPr>
      <w:r w:rsidRPr="001C752C">
        <w:rPr>
          <w:rFonts w:ascii="Calibri" w:hAnsi="Calibri"/>
          <w:b/>
          <w:bCs/>
          <w:iCs/>
          <w:sz w:val="32"/>
          <w:szCs w:val="32"/>
        </w:rPr>
        <w:t>北京</w:t>
      </w:r>
      <w:proofErr w:type="gramStart"/>
      <w:r w:rsidRPr="001C752C">
        <w:rPr>
          <w:rFonts w:ascii="Calibri" w:hAnsi="Calibri"/>
          <w:b/>
          <w:bCs/>
          <w:iCs/>
          <w:sz w:val="32"/>
          <w:szCs w:val="32"/>
        </w:rPr>
        <w:t>合康亿盛</w:t>
      </w:r>
      <w:proofErr w:type="gramEnd"/>
      <w:r w:rsidRPr="001C752C">
        <w:rPr>
          <w:rFonts w:ascii="Calibri" w:hAnsi="Calibri"/>
          <w:b/>
          <w:bCs/>
          <w:iCs/>
          <w:sz w:val="32"/>
          <w:szCs w:val="32"/>
        </w:rPr>
        <w:t>变频科技股份有限公司</w:t>
      </w:r>
    </w:p>
    <w:p w:rsidR="00A266D0" w:rsidRPr="001C752C" w:rsidRDefault="000F6263" w:rsidP="00F70BB3">
      <w:pPr>
        <w:spacing w:beforeLines="50" w:afterLines="50" w:line="400" w:lineRule="exact"/>
        <w:jc w:val="center"/>
        <w:rPr>
          <w:rFonts w:ascii="Calibri" w:hAnsi="Calibri"/>
          <w:b/>
          <w:bCs/>
          <w:iCs/>
          <w:sz w:val="32"/>
          <w:szCs w:val="32"/>
        </w:rPr>
      </w:pPr>
      <w:r w:rsidRPr="001C752C">
        <w:rPr>
          <w:rFonts w:ascii="Calibri" w:hAnsi="Calibri"/>
          <w:b/>
          <w:bCs/>
          <w:iCs/>
          <w:sz w:val="32"/>
          <w:szCs w:val="32"/>
        </w:rPr>
        <w:t>投资者关系活动记录表</w:t>
      </w:r>
    </w:p>
    <w:p w:rsidR="00A266D0" w:rsidRPr="001C752C" w:rsidRDefault="000F6263">
      <w:pPr>
        <w:spacing w:line="400" w:lineRule="exact"/>
        <w:rPr>
          <w:rFonts w:ascii="Calibri" w:hAnsi="Calibri"/>
          <w:bCs/>
          <w:iCs/>
          <w:sz w:val="24"/>
        </w:rPr>
      </w:pPr>
      <w:r w:rsidRPr="001C752C">
        <w:rPr>
          <w:rFonts w:ascii="Calibri" w:hAnsi="Calibri"/>
          <w:bCs/>
          <w:iCs/>
          <w:sz w:val="24"/>
        </w:rPr>
        <w:t xml:space="preserve">                                                         </w:t>
      </w:r>
      <w:r w:rsidRPr="001C752C">
        <w:rPr>
          <w:rFonts w:ascii="Calibri" w:hAnsi="Calibri"/>
          <w:bCs/>
          <w:iCs/>
          <w:sz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6614"/>
      </w:tblGrid>
      <w:tr w:rsidR="00A266D0" w:rsidRPr="001C752C">
        <w:tc>
          <w:tcPr>
            <w:tcW w:w="1908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投资者关系活动类别</w:t>
            </w:r>
          </w:p>
          <w:p w:rsidR="00A266D0" w:rsidRPr="001C752C" w:rsidRDefault="00A266D0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</w:p>
        </w:tc>
        <w:tc>
          <w:tcPr>
            <w:tcW w:w="6614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■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特定对象调研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 xml:space="preserve">        </w:t>
            </w: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分析师会议</w:t>
            </w:r>
          </w:p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媒体采访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 xml:space="preserve">            </w:t>
            </w: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业绩说明会</w:t>
            </w:r>
          </w:p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新闻发布会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 xml:space="preserve">          </w:t>
            </w: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路演活动</w:t>
            </w:r>
          </w:p>
          <w:p w:rsidR="00A266D0" w:rsidRPr="001C752C" w:rsidRDefault="000F6263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现场参观</w:t>
            </w: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ab/>
              <w:t>□</w:t>
            </w: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ab/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一对一沟通</w:t>
            </w:r>
          </w:p>
          <w:p w:rsidR="00A266D0" w:rsidRPr="001C752C" w:rsidRDefault="000F6263">
            <w:pPr>
              <w:tabs>
                <w:tab w:val="center" w:pos="3199"/>
              </w:tabs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□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其他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 xml:space="preserve"> </w:t>
            </w:r>
            <w:r w:rsidRPr="001C752C">
              <w:rPr>
                <w:rFonts w:ascii="Calibri" w:hAnsi="Calibri"/>
                <w:kern w:val="0"/>
                <w:sz w:val="28"/>
                <w:szCs w:val="28"/>
              </w:rPr>
              <w:t>（</w:t>
            </w:r>
            <w:proofErr w:type="gramStart"/>
            <w:r w:rsidRPr="001C752C">
              <w:rPr>
                <w:rFonts w:ascii="Calibri" w:hAnsi="Calibri"/>
                <w:kern w:val="0"/>
                <w:sz w:val="28"/>
                <w:szCs w:val="28"/>
                <w:u w:val="single"/>
              </w:rPr>
              <w:t>请文字</w:t>
            </w:r>
            <w:proofErr w:type="gramEnd"/>
            <w:r w:rsidRPr="001C752C">
              <w:rPr>
                <w:rFonts w:ascii="Calibri" w:hAnsi="Calibri"/>
                <w:kern w:val="0"/>
                <w:sz w:val="28"/>
                <w:szCs w:val="28"/>
                <w:u w:val="single"/>
              </w:rPr>
              <w:t>说明其</w:t>
            </w:r>
            <w:r w:rsidRPr="001C752C">
              <w:rPr>
                <w:rFonts w:ascii="Calibri" w:hAnsi="Calibri" w:hint="eastAsia"/>
                <w:kern w:val="0"/>
                <w:sz w:val="28"/>
                <w:szCs w:val="28"/>
                <w:u w:val="single"/>
              </w:rPr>
              <w:t>：</w:t>
            </w:r>
            <w:r w:rsidRPr="001C752C">
              <w:rPr>
                <w:rFonts w:ascii="Calibri" w:hAnsi="Calibri"/>
                <w:kern w:val="0"/>
                <w:sz w:val="28"/>
                <w:szCs w:val="28"/>
                <w:u w:val="single"/>
              </w:rPr>
              <w:t>他活动内容）</w:t>
            </w:r>
          </w:p>
        </w:tc>
      </w:tr>
      <w:tr w:rsidR="00A266D0" w:rsidRPr="001C752C">
        <w:trPr>
          <w:trHeight w:val="1071"/>
        </w:trPr>
        <w:tc>
          <w:tcPr>
            <w:tcW w:w="1908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:rsidR="00401EBB" w:rsidRPr="001C752C" w:rsidRDefault="00AA2F11" w:rsidP="00401EBB">
            <w:pPr>
              <w:spacing w:line="480" w:lineRule="atLeast"/>
              <w:ind w:firstLine="420"/>
              <w:jc w:val="center"/>
              <w:rPr>
                <w:rFonts w:ascii="Calibri" w:hAnsi="Calibri"/>
                <w:bCs/>
                <w:iCs/>
                <w:kern w:val="0"/>
                <w:szCs w:val="21"/>
              </w:rPr>
            </w:pPr>
            <w:r>
              <w:rPr>
                <w:rFonts w:ascii="Calibri" w:hAnsi="Calibri" w:hint="eastAsia"/>
                <w:bCs/>
                <w:iCs/>
                <w:kern w:val="0"/>
                <w:szCs w:val="21"/>
              </w:rPr>
              <w:t>太平洋证券方杰、张学、张文臣，</w:t>
            </w:r>
            <w:proofErr w:type="gramStart"/>
            <w:r w:rsidRPr="00373238">
              <w:rPr>
                <w:rFonts w:ascii="Calibri" w:hAnsi="Calibri" w:hint="eastAsia"/>
                <w:bCs/>
                <w:iCs/>
                <w:kern w:val="0"/>
                <w:szCs w:val="21"/>
              </w:rPr>
              <w:t>復</w:t>
            </w:r>
            <w:proofErr w:type="gramEnd"/>
            <w:r>
              <w:rPr>
                <w:rFonts w:ascii="Calibri" w:hAnsi="Calibri" w:hint="eastAsia"/>
                <w:bCs/>
                <w:iCs/>
                <w:kern w:val="0"/>
                <w:szCs w:val="21"/>
              </w:rPr>
              <w:t>华证券投资信托胡家菱、杨佳升，中国银河国际（香港）杨筱筑，国泰证券投资信托陈秋婷，富邦人寿保险</w:t>
            </w:r>
            <w:r w:rsidRPr="003D7174">
              <w:rPr>
                <w:rFonts w:ascii="Calibri" w:hAnsi="Calibri" w:hint="eastAsia"/>
                <w:bCs/>
                <w:iCs/>
                <w:kern w:val="0"/>
                <w:szCs w:val="21"/>
              </w:rPr>
              <w:t>盧</w:t>
            </w:r>
            <w:r>
              <w:rPr>
                <w:rFonts w:ascii="Calibri" w:hAnsi="Calibri" w:hint="eastAsia"/>
                <w:bCs/>
                <w:iCs/>
                <w:kern w:val="0"/>
                <w:szCs w:val="21"/>
              </w:rPr>
              <w:t>冠彰，群益证券投资信托李忠翰</w:t>
            </w:r>
          </w:p>
        </w:tc>
      </w:tr>
      <w:tr w:rsidR="00A266D0" w:rsidRPr="001C752C">
        <w:tc>
          <w:tcPr>
            <w:tcW w:w="1908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时间</w:t>
            </w:r>
          </w:p>
        </w:tc>
        <w:tc>
          <w:tcPr>
            <w:tcW w:w="6614" w:type="dxa"/>
          </w:tcPr>
          <w:p w:rsidR="00A266D0" w:rsidRPr="001C752C" w:rsidRDefault="00AA2F11" w:rsidP="00401EBB">
            <w:pPr>
              <w:spacing w:line="480" w:lineRule="atLeast"/>
              <w:ind w:firstLineChars="650" w:firstLine="1560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2016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年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9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月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5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日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1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0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：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3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0-1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2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：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3</w:t>
            </w:r>
            <w:r w:rsidRPr="006A623C">
              <w:rPr>
                <w:rFonts w:ascii="Calibri" w:hAnsi="Calibri" w:hint="eastAsia"/>
                <w:bCs/>
                <w:iCs/>
                <w:kern w:val="0"/>
                <w:sz w:val="24"/>
              </w:rPr>
              <w:t>0</w:t>
            </w:r>
          </w:p>
        </w:tc>
      </w:tr>
      <w:tr w:rsidR="00A266D0" w:rsidRPr="001C752C">
        <w:tc>
          <w:tcPr>
            <w:tcW w:w="1908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会议地点及形式</w:t>
            </w:r>
          </w:p>
        </w:tc>
        <w:tc>
          <w:tcPr>
            <w:tcW w:w="6614" w:type="dxa"/>
          </w:tcPr>
          <w:p w:rsidR="00A266D0" w:rsidRPr="001C752C" w:rsidRDefault="000F6263" w:rsidP="001501C3">
            <w:pPr>
              <w:spacing w:line="480" w:lineRule="atLeast"/>
              <w:ind w:firstLineChars="800" w:firstLine="1680"/>
              <w:rPr>
                <w:rFonts w:ascii="Calibri" w:hAnsi="Calibri"/>
                <w:bCs/>
                <w:iCs/>
                <w:kern w:val="0"/>
                <w:szCs w:val="21"/>
              </w:rPr>
            </w:pPr>
            <w:r w:rsidRPr="001C752C">
              <w:rPr>
                <w:rFonts w:ascii="Calibri" w:hAnsi="Calibri" w:hint="eastAsia"/>
                <w:bCs/>
                <w:iCs/>
                <w:kern w:val="0"/>
                <w:szCs w:val="21"/>
              </w:rPr>
              <w:t>实地调研，公司五楼会议室</w:t>
            </w:r>
          </w:p>
        </w:tc>
      </w:tr>
      <w:tr w:rsidR="00A266D0" w:rsidRPr="001C752C" w:rsidTr="00DC1B36">
        <w:tc>
          <w:tcPr>
            <w:tcW w:w="1908" w:type="dxa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上市公司接待人员</w:t>
            </w:r>
          </w:p>
        </w:tc>
        <w:tc>
          <w:tcPr>
            <w:tcW w:w="6614" w:type="dxa"/>
            <w:vAlign w:val="center"/>
          </w:tcPr>
          <w:p w:rsidR="00AA2F11" w:rsidRPr="006A623C" w:rsidRDefault="00AA2F11" w:rsidP="00AA2F11">
            <w:pPr>
              <w:spacing w:line="480" w:lineRule="atLeast"/>
              <w:ind w:firstLineChars="1050" w:firstLine="2205"/>
              <w:rPr>
                <w:rFonts w:ascii="Calibri" w:hAnsi="Calibri"/>
                <w:bCs/>
                <w:iCs/>
                <w:kern w:val="0"/>
                <w:szCs w:val="21"/>
              </w:rPr>
            </w:pP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>董事兼总经理</w:t>
            </w: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 xml:space="preserve">   </w:t>
            </w: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>叶进吾</w:t>
            </w:r>
          </w:p>
          <w:p w:rsidR="00986613" w:rsidRPr="001C752C" w:rsidRDefault="00AA2F11" w:rsidP="00AA2F11">
            <w:pPr>
              <w:spacing w:line="480" w:lineRule="atLeast"/>
              <w:ind w:firstLineChars="600" w:firstLine="1260"/>
              <w:rPr>
                <w:rFonts w:ascii="Calibri" w:hAnsi="Calibri"/>
                <w:bCs/>
                <w:iCs/>
                <w:kern w:val="0"/>
                <w:szCs w:val="21"/>
              </w:rPr>
            </w:pP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>副总经理兼董事会秘书、财务总监</w:t>
            </w: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 xml:space="preserve">   </w:t>
            </w:r>
            <w:r w:rsidRPr="006A623C">
              <w:rPr>
                <w:rFonts w:ascii="Calibri" w:hAnsi="Calibri" w:hint="eastAsia"/>
                <w:bCs/>
                <w:iCs/>
                <w:kern w:val="0"/>
                <w:szCs w:val="21"/>
              </w:rPr>
              <w:t>刘瑞霞</w:t>
            </w:r>
          </w:p>
        </w:tc>
      </w:tr>
      <w:tr w:rsidR="00A266D0" w:rsidRPr="001C752C">
        <w:tc>
          <w:tcPr>
            <w:tcW w:w="1908" w:type="dxa"/>
            <w:vAlign w:val="center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投资者关系活动主要内容介绍</w:t>
            </w:r>
          </w:p>
        </w:tc>
        <w:tc>
          <w:tcPr>
            <w:tcW w:w="6614" w:type="dxa"/>
          </w:tcPr>
          <w:p w:rsidR="00AA2F11" w:rsidRDefault="00AA2F11" w:rsidP="00F70BB3">
            <w:pPr>
              <w:pStyle w:val="1"/>
              <w:spacing w:beforeLines="50" w:line="360" w:lineRule="auto"/>
              <w:ind w:firstLineChars="199" w:firstLine="420"/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一、</w:t>
            </w:r>
            <w:r w:rsidRPr="00173C96">
              <w:rPr>
                <w:rFonts w:hint="eastAsia"/>
                <w:b/>
                <w:color w:val="000000"/>
                <w:szCs w:val="21"/>
              </w:rPr>
              <w:t>董事兼总经理叶进吾</w:t>
            </w:r>
            <w:r>
              <w:rPr>
                <w:rFonts w:hint="eastAsia"/>
                <w:b/>
                <w:color w:val="000000"/>
                <w:szCs w:val="21"/>
              </w:rPr>
              <w:t>及副总经理兼董事会秘书、财务总监刘瑞霞对公司经营情况简要介绍</w:t>
            </w:r>
          </w:p>
          <w:p w:rsidR="00081959" w:rsidRPr="001C752C" w:rsidRDefault="00081959" w:rsidP="00F70BB3">
            <w:pPr>
              <w:pStyle w:val="1"/>
              <w:spacing w:beforeLines="50" w:line="360" w:lineRule="auto"/>
              <w:ind w:firstLine="420"/>
              <w:jc w:val="left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北京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合康亿盛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变频科技股份有限公司成立于</w:t>
            </w:r>
            <w:r w:rsidRPr="001C752C">
              <w:rPr>
                <w:rFonts w:hint="eastAsia"/>
                <w:color w:val="000000"/>
                <w:szCs w:val="21"/>
              </w:rPr>
              <w:t>2003</w:t>
            </w:r>
            <w:r w:rsidRPr="001C752C">
              <w:rPr>
                <w:rFonts w:hint="eastAsia"/>
                <w:color w:val="000000"/>
                <w:szCs w:val="21"/>
              </w:rPr>
              <w:t>年，并于</w:t>
            </w:r>
            <w:r w:rsidRPr="001C752C">
              <w:rPr>
                <w:rFonts w:hint="eastAsia"/>
                <w:color w:val="000000"/>
                <w:szCs w:val="21"/>
              </w:rPr>
              <w:t>2010</w:t>
            </w:r>
            <w:r w:rsidRPr="001C752C">
              <w:rPr>
                <w:rFonts w:hint="eastAsia"/>
                <w:color w:val="000000"/>
                <w:szCs w:val="21"/>
              </w:rPr>
              <w:t>年在深交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所创业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板挂牌上市（简称：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合康变频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，代码：</w:t>
            </w:r>
            <w:r w:rsidRPr="001C752C">
              <w:rPr>
                <w:rFonts w:hint="eastAsia"/>
                <w:color w:val="000000"/>
                <w:szCs w:val="21"/>
              </w:rPr>
              <w:t>300048</w:t>
            </w:r>
            <w:r w:rsidRPr="001C752C">
              <w:rPr>
                <w:rFonts w:hint="eastAsia"/>
                <w:color w:val="000000"/>
                <w:szCs w:val="21"/>
              </w:rPr>
              <w:t>），是一家专业研发、生产及销售高、中、低压变频器的高科技上市公司。</w:t>
            </w:r>
          </w:p>
          <w:p w:rsidR="00081959" w:rsidRPr="001C752C" w:rsidRDefault="00081959" w:rsidP="00F70BB3">
            <w:pPr>
              <w:pStyle w:val="ac"/>
              <w:spacing w:beforeLines="50" w:line="360" w:lineRule="auto"/>
              <w:ind w:firstLine="420"/>
              <w:jc w:val="left"/>
              <w:rPr>
                <w:color w:val="000000"/>
                <w:kern w:val="0"/>
                <w:szCs w:val="21"/>
              </w:rPr>
            </w:pPr>
            <w:r w:rsidRPr="001C752C">
              <w:rPr>
                <w:rFonts w:hint="eastAsia"/>
                <w:color w:val="000000"/>
                <w:kern w:val="0"/>
                <w:szCs w:val="21"/>
              </w:rPr>
              <w:t>公司成立以来，大致经历了四个阶段，分别是：</w:t>
            </w:r>
          </w:p>
          <w:p w:rsidR="00081959" w:rsidRPr="001C752C" w:rsidRDefault="00081959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1C752C"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1C752C">
              <w:rPr>
                <w:rFonts w:hint="eastAsia"/>
                <w:color w:val="000000"/>
                <w:kern w:val="0"/>
                <w:szCs w:val="21"/>
              </w:rPr>
              <w:t>）创业起航：</w:t>
            </w:r>
            <w:r w:rsidRPr="001C752C">
              <w:rPr>
                <w:color w:val="000000"/>
                <w:szCs w:val="21"/>
              </w:rPr>
              <w:t xml:space="preserve">2003.11 </w:t>
            </w:r>
            <w:r w:rsidRPr="001C752C">
              <w:rPr>
                <w:rFonts w:hint="eastAsia"/>
                <w:color w:val="000000"/>
                <w:szCs w:val="21"/>
              </w:rPr>
              <w:t>与湖北冶钢集团鉴定了一台</w:t>
            </w:r>
            <w:r w:rsidRPr="001C752C">
              <w:rPr>
                <w:color w:val="000000"/>
                <w:szCs w:val="21"/>
              </w:rPr>
              <w:t>6kV/1800kW</w:t>
            </w:r>
            <w:r w:rsidRPr="001C752C">
              <w:rPr>
                <w:rFonts w:hint="eastAsia"/>
                <w:color w:val="000000"/>
                <w:szCs w:val="21"/>
              </w:rPr>
              <w:lastRenderedPageBreak/>
              <w:t>除尘风机高压变频器，在当时是功率最大的产品之一</w:t>
            </w:r>
            <w:r w:rsidRPr="001C752C">
              <w:rPr>
                <w:color w:val="000000"/>
                <w:szCs w:val="21"/>
              </w:rPr>
              <w:t xml:space="preserve"> </w:t>
            </w:r>
            <w:r w:rsidRPr="001C752C">
              <w:rPr>
                <w:rFonts w:hint="eastAsia"/>
                <w:color w:val="000000"/>
                <w:szCs w:val="21"/>
              </w:rPr>
              <w:t>。</w:t>
            </w:r>
          </w:p>
          <w:p w:rsidR="00081959" w:rsidRPr="001C752C" w:rsidRDefault="00081959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（</w:t>
            </w:r>
            <w:r w:rsidRPr="001C752C">
              <w:rPr>
                <w:rFonts w:hint="eastAsia"/>
                <w:color w:val="000000"/>
                <w:szCs w:val="21"/>
              </w:rPr>
              <w:t>2</w:t>
            </w:r>
            <w:r w:rsidRPr="001C752C">
              <w:rPr>
                <w:rFonts w:hint="eastAsia"/>
                <w:color w:val="000000"/>
                <w:szCs w:val="21"/>
              </w:rPr>
              <w:t>）飞速发展：从</w:t>
            </w:r>
            <w:r w:rsidRPr="001C752C">
              <w:rPr>
                <w:rFonts w:hint="eastAsia"/>
                <w:color w:val="000000"/>
                <w:szCs w:val="21"/>
              </w:rPr>
              <w:t>2005</w:t>
            </w:r>
            <w:r w:rsidRPr="001C752C">
              <w:rPr>
                <w:rFonts w:hint="eastAsia"/>
                <w:color w:val="000000"/>
                <w:szCs w:val="21"/>
              </w:rPr>
              <w:t>年开始，公司的产品逐渐得到市场的认可，国内开始建立办事处，国外也在逐步开拓俄罗斯市场。尤其是在</w:t>
            </w:r>
            <w:r w:rsidRPr="001C752C">
              <w:rPr>
                <w:rFonts w:hint="eastAsia"/>
                <w:szCs w:val="21"/>
              </w:rPr>
              <w:t>上海上丰集团有限公司</w:t>
            </w:r>
            <w:r w:rsidRPr="001C752C">
              <w:rPr>
                <w:rFonts w:hint="eastAsia"/>
                <w:color w:val="000000"/>
                <w:szCs w:val="21"/>
              </w:rPr>
              <w:t>加盟公司后，公司迎来了飞速发展阶段。</w:t>
            </w:r>
          </w:p>
          <w:p w:rsidR="00081959" w:rsidRPr="001C752C" w:rsidRDefault="00081959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（</w:t>
            </w:r>
            <w:r w:rsidRPr="001C752C">
              <w:rPr>
                <w:rFonts w:hint="eastAsia"/>
                <w:color w:val="000000"/>
                <w:szCs w:val="21"/>
              </w:rPr>
              <w:t>3</w:t>
            </w:r>
            <w:r w:rsidRPr="001C752C">
              <w:rPr>
                <w:rFonts w:hint="eastAsia"/>
                <w:color w:val="000000"/>
                <w:szCs w:val="21"/>
              </w:rPr>
              <w:t>）资本助推：公司的快速发展很快受到资本市场的追捧，联想控股等四家风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投联合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加入、公司快速在创业板上市、融资后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的合康在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2014</w:t>
            </w:r>
            <w:r w:rsidRPr="001C752C">
              <w:rPr>
                <w:rFonts w:hint="eastAsia"/>
                <w:color w:val="000000"/>
                <w:szCs w:val="21"/>
              </w:rPr>
              <w:t>年高压变频器市场份额达到</w:t>
            </w:r>
            <w:r w:rsidRPr="001C752C">
              <w:rPr>
                <w:color w:val="000000"/>
                <w:szCs w:val="21"/>
              </w:rPr>
              <w:t>16%</w:t>
            </w:r>
            <w:r w:rsidRPr="001C752C">
              <w:rPr>
                <w:rFonts w:hint="eastAsia"/>
                <w:color w:val="000000"/>
                <w:szCs w:val="21"/>
              </w:rPr>
              <w:t>，居行业前列。</w:t>
            </w:r>
          </w:p>
          <w:p w:rsidR="00081959" w:rsidRPr="001C752C" w:rsidRDefault="00081959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（</w:t>
            </w:r>
            <w:r w:rsidRPr="001C752C">
              <w:rPr>
                <w:rFonts w:hint="eastAsia"/>
                <w:color w:val="000000"/>
                <w:szCs w:val="21"/>
              </w:rPr>
              <w:t>4</w:t>
            </w:r>
            <w:r w:rsidRPr="001C752C">
              <w:rPr>
                <w:rFonts w:hint="eastAsia"/>
                <w:color w:val="000000"/>
                <w:szCs w:val="21"/>
              </w:rPr>
              <w:t>）产业延伸：</w:t>
            </w:r>
            <w:r w:rsidRPr="001C752C">
              <w:rPr>
                <w:color w:val="000000"/>
                <w:szCs w:val="21"/>
              </w:rPr>
              <w:t>2010.08</w:t>
            </w:r>
            <w:r w:rsidRPr="001C752C">
              <w:rPr>
                <w:rFonts w:hint="eastAsia"/>
                <w:color w:val="000000"/>
                <w:szCs w:val="21"/>
              </w:rPr>
              <w:t>，成立武汉合康，延伸发展中低压变频、防爆变频技术；</w:t>
            </w:r>
            <w:r w:rsidRPr="001C752C">
              <w:rPr>
                <w:color w:val="000000"/>
                <w:szCs w:val="21"/>
              </w:rPr>
              <w:t>2013.12</w:t>
            </w:r>
            <w:r w:rsidRPr="001C752C">
              <w:rPr>
                <w:rFonts w:hint="eastAsia"/>
                <w:color w:val="000000"/>
                <w:szCs w:val="21"/>
              </w:rPr>
              <w:t>，成立深圳合康思德电机系统有限公司，向新能源领域延伸；</w:t>
            </w:r>
            <w:r w:rsidRPr="001C752C">
              <w:rPr>
                <w:color w:val="000000"/>
                <w:szCs w:val="21"/>
              </w:rPr>
              <w:t xml:space="preserve"> 2014.01</w:t>
            </w:r>
            <w:r w:rsidRPr="001C752C">
              <w:rPr>
                <w:rFonts w:hint="eastAsia"/>
                <w:color w:val="000000"/>
                <w:szCs w:val="21"/>
              </w:rPr>
              <w:t>，购买东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菱技术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有限公司</w:t>
            </w:r>
            <w:r w:rsidRPr="001C752C">
              <w:rPr>
                <w:color w:val="000000"/>
                <w:szCs w:val="21"/>
              </w:rPr>
              <w:t>40%</w:t>
            </w:r>
            <w:r w:rsidRPr="001C752C">
              <w:rPr>
                <w:rFonts w:hint="eastAsia"/>
                <w:color w:val="000000"/>
                <w:szCs w:val="21"/>
              </w:rPr>
              <w:t>股权，延伸发展智能控制；</w:t>
            </w:r>
            <w:r w:rsidRPr="001C752C">
              <w:rPr>
                <w:color w:val="000000"/>
                <w:szCs w:val="21"/>
              </w:rPr>
              <w:t xml:space="preserve"> 2014.07</w:t>
            </w:r>
            <w:r w:rsidRPr="001C752C">
              <w:rPr>
                <w:rFonts w:hint="eastAsia"/>
                <w:color w:val="000000"/>
                <w:szCs w:val="21"/>
              </w:rPr>
              <w:t>，</w:t>
            </w:r>
            <w:r w:rsidRPr="001C752C">
              <w:rPr>
                <w:rFonts w:hint="eastAsia"/>
                <w:bCs/>
                <w:color w:val="000000"/>
                <w:szCs w:val="21"/>
              </w:rPr>
              <w:t>新设立</w:t>
            </w:r>
            <w:proofErr w:type="gramStart"/>
            <w:r w:rsidRPr="001C752C">
              <w:rPr>
                <w:rFonts w:hint="eastAsia"/>
                <w:bCs/>
                <w:color w:val="000000"/>
                <w:szCs w:val="21"/>
              </w:rPr>
              <w:t>武汉合康动力</w:t>
            </w:r>
            <w:proofErr w:type="gramEnd"/>
            <w:r w:rsidRPr="001C752C">
              <w:rPr>
                <w:rFonts w:hint="eastAsia"/>
                <w:bCs/>
                <w:color w:val="000000"/>
                <w:szCs w:val="21"/>
              </w:rPr>
              <w:t>技术有限公司，进军新能源客车及相关产品领域；</w:t>
            </w:r>
            <w:r w:rsidRPr="001C752C">
              <w:rPr>
                <w:bCs/>
                <w:color w:val="000000"/>
                <w:szCs w:val="21"/>
              </w:rPr>
              <w:t xml:space="preserve"> </w:t>
            </w:r>
            <w:r w:rsidRPr="001C752C">
              <w:rPr>
                <w:color w:val="000000"/>
                <w:szCs w:val="21"/>
              </w:rPr>
              <w:t>2014.12</w:t>
            </w:r>
            <w:r w:rsidRPr="001C752C">
              <w:rPr>
                <w:rFonts w:hint="eastAsia"/>
                <w:color w:val="000000"/>
                <w:szCs w:val="21"/>
              </w:rPr>
              <w:t>，</w:t>
            </w:r>
            <w:r w:rsidRPr="001C752C">
              <w:rPr>
                <w:color w:val="000000"/>
                <w:szCs w:val="21"/>
              </w:rPr>
              <w:t xml:space="preserve"> </w:t>
            </w:r>
            <w:r w:rsidRPr="001C752C">
              <w:rPr>
                <w:rFonts w:hint="eastAsia"/>
                <w:color w:val="000000"/>
                <w:szCs w:val="21"/>
              </w:rPr>
              <w:t>购买深圳市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日业电气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有限公司</w:t>
            </w:r>
            <w:r w:rsidRPr="001C752C">
              <w:rPr>
                <w:color w:val="000000"/>
                <w:szCs w:val="21"/>
              </w:rPr>
              <w:t>51%</w:t>
            </w:r>
            <w:r w:rsidRPr="001C752C">
              <w:rPr>
                <w:rFonts w:hint="eastAsia"/>
                <w:color w:val="000000"/>
                <w:szCs w:val="21"/>
              </w:rPr>
              <w:t>股权（截止目前，已经收购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深圳日业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90%</w:t>
            </w:r>
            <w:r w:rsidRPr="001C752C">
              <w:rPr>
                <w:rFonts w:hint="eastAsia"/>
                <w:color w:val="000000"/>
                <w:szCs w:val="21"/>
              </w:rPr>
              <w:t>股权），市场和技术的协同效应得以放大，带动中低压变频器加速发展；</w:t>
            </w:r>
            <w:r w:rsidRPr="001C752C">
              <w:rPr>
                <w:color w:val="000000"/>
                <w:szCs w:val="21"/>
              </w:rPr>
              <w:t xml:space="preserve"> 2015.05</w:t>
            </w:r>
            <w:r w:rsidRPr="001C752C">
              <w:rPr>
                <w:rFonts w:hint="eastAsia"/>
                <w:color w:val="000000"/>
                <w:szCs w:val="21"/>
              </w:rPr>
              <w:t>，</w:t>
            </w:r>
            <w:r w:rsidRPr="001C752C">
              <w:rPr>
                <w:rFonts w:hint="eastAsia"/>
                <w:bCs/>
                <w:color w:val="000000"/>
                <w:szCs w:val="21"/>
              </w:rPr>
              <w:t>开始分别在武汉和北京设立新能源汽车运营服务公司，加速新能源汽车及充电</w:t>
            </w:r>
            <w:proofErr w:type="gramStart"/>
            <w:r w:rsidRPr="001C752C">
              <w:rPr>
                <w:rFonts w:hint="eastAsia"/>
                <w:bCs/>
                <w:color w:val="000000"/>
                <w:szCs w:val="21"/>
              </w:rPr>
              <w:t>桩产业链业务</w:t>
            </w:r>
            <w:proofErr w:type="gramEnd"/>
            <w:r w:rsidRPr="001C752C">
              <w:rPr>
                <w:rFonts w:hint="eastAsia"/>
                <w:bCs/>
                <w:color w:val="000000"/>
                <w:szCs w:val="21"/>
              </w:rPr>
              <w:t>发展；</w:t>
            </w:r>
            <w:r w:rsidRPr="001C752C">
              <w:rPr>
                <w:bCs/>
                <w:color w:val="000000"/>
                <w:szCs w:val="21"/>
              </w:rPr>
              <w:t xml:space="preserve"> </w:t>
            </w:r>
            <w:r w:rsidRPr="001C752C">
              <w:rPr>
                <w:color w:val="000000"/>
                <w:szCs w:val="21"/>
              </w:rPr>
              <w:t>2015.05</w:t>
            </w:r>
            <w:r w:rsidRPr="001C752C">
              <w:rPr>
                <w:rFonts w:hint="eastAsia"/>
                <w:color w:val="000000"/>
                <w:szCs w:val="21"/>
              </w:rPr>
              <w:t>，</w:t>
            </w:r>
            <w:r w:rsidRPr="001C752C">
              <w:rPr>
                <w:rFonts w:hint="eastAsia"/>
                <w:bCs/>
                <w:color w:val="000000"/>
                <w:szCs w:val="21"/>
              </w:rPr>
              <w:t>新设滦平慧通光伏发电有限公司，进军光伏发电领域；</w:t>
            </w:r>
            <w:r w:rsidRPr="001C752C">
              <w:rPr>
                <w:color w:val="000000"/>
                <w:szCs w:val="21"/>
              </w:rPr>
              <w:t>2015.11</w:t>
            </w:r>
            <w:r w:rsidRPr="001C752C">
              <w:rPr>
                <w:rFonts w:hint="eastAsia"/>
                <w:color w:val="000000"/>
                <w:szCs w:val="21"/>
              </w:rPr>
              <w:t>，</w:t>
            </w:r>
            <w:r w:rsidRPr="001C752C">
              <w:rPr>
                <w:bCs/>
                <w:color w:val="000000"/>
                <w:szCs w:val="21"/>
              </w:rPr>
              <w:t>发行股份购买北京华泰润达节能科技有限公司</w:t>
            </w:r>
            <w:r w:rsidRPr="001C752C">
              <w:rPr>
                <w:bCs/>
                <w:color w:val="000000"/>
                <w:szCs w:val="21"/>
              </w:rPr>
              <w:t>100%</w:t>
            </w:r>
            <w:r w:rsidRPr="001C752C">
              <w:rPr>
                <w:rFonts w:hint="eastAsia"/>
                <w:bCs/>
                <w:color w:val="000000"/>
                <w:szCs w:val="21"/>
              </w:rPr>
              <w:t>股权，大力拓展节能环保领域业务，</w:t>
            </w:r>
            <w:r w:rsidRPr="001C752C">
              <w:rPr>
                <w:rFonts w:hint="eastAsia"/>
                <w:color w:val="000000"/>
                <w:szCs w:val="21"/>
              </w:rPr>
              <w:t>使公司的产品线进一步延伸到环保领域。</w:t>
            </w:r>
            <w:r w:rsidRPr="001C752C">
              <w:rPr>
                <w:color w:val="000000"/>
                <w:szCs w:val="21"/>
              </w:rPr>
              <w:t xml:space="preserve"> </w:t>
            </w:r>
          </w:p>
          <w:p w:rsidR="00081959" w:rsidRPr="001C752C" w:rsidRDefault="00081959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proofErr w:type="gramStart"/>
            <w:r w:rsidRPr="001C752C">
              <w:rPr>
                <w:rFonts w:hint="eastAsia"/>
                <w:color w:val="000000"/>
                <w:szCs w:val="21"/>
              </w:rPr>
              <w:t>合康变频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目前的业务主要分为以下三个板块：节能设备高端制造产业、节能环保项目建设及运营产业、新能源汽车总成配套及运营产业。</w:t>
            </w:r>
          </w:p>
          <w:p w:rsidR="00081959" w:rsidRPr="001C752C" w:rsidRDefault="00081959" w:rsidP="00F70BB3">
            <w:pPr>
              <w:pStyle w:val="ac"/>
              <w:tabs>
                <w:tab w:val="left" w:pos="2355"/>
              </w:tabs>
              <w:spacing w:beforeLines="50" w:line="360" w:lineRule="auto"/>
              <w:ind w:firstLine="420"/>
              <w:rPr>
                <w:rFonts w:cs="宋体"/>
                <w:kern w:val="0"/>
                <w:szCs w:val="24"/>
              </w:rPr>
            </w:pPr>
            <w:r w:rsidRPr="001C752C">
              <w:rPr>
                <w:rFonts w:cs="宋体" w:hint="eastAsia"/>
                <w:kern w:val="0"/>
                <w:szCs w:val="24"/>
                <w:lang w:val="zh-CN"/>
              </w:rPr>
              <w:t>公司在巩固市场地位的同时，注重精细化发展，</w:t>
            </w:r>
            <w:r w:rsidRPr="001C752C">
              <w:rPr>
                <w:rFonts w:eastAsia="Times New Roman"/>
                <w:kern w:val="0"/>
                <w:szCs w:val="24"/>
                <w:lang w:val="zh-CN"/>
              </w:rPr>
              <w:t>“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行业有侧重，客户有选择，市场有突破</w:t>
            </w:r>
            <w:r w:rsidRPr="001C752C">
              <w:rPr>
                <w:rFonts w:eastAsia="Times New Roman"/>
                <w:kern w:val="0"/>
                <w:szCs w:val="24"/>
                <w:lang w:val="zh-CN"/>
              </w:rPr>
              <w:t>”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，侧重国家产业结构调整中前景好的行业，选择资信好业绩佳的客户，突破现有市场，在</w:t>
            </w:r>
            <w:r w:rsidRPr="001C752C">
              <w:rPr>
                <w:rFonts w:eastAsia="Times New Roman"/>
                <w:kern w:val="0"/>
                <w:szCs w:val="24"/>
                <w:lang w:val="zh-CN"/>
              </w:rPr>
              <w:t>“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一带一路</w:t>
            </w:r>
            <w:r w:rsidRPr="001C752C">
              <w:rPr>
                <w:rFonts w:eastAsia="Times New Roman"/>
                <w:kern w:val="0"/>
                <w:szCs w:val="24"/>
                <w:lang w:val="zh-CN"/>
              </w:rPr>
              <w:t>”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的国家战略中，积极拓展海外市场。华泰润达的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EMC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和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PPP</w:t>
            </w:r>
            <w:r w:rsidRPr="001C752C">
              <w:rPr>
                <w:rFonts w:cs="宋体" w:hint="eastAsia"/>
                <w:kern w:val="0"/>
                <w:szCs w:val="24"/>
                <w:lang w:val="zh-CN"/>
              </w:rPr>
              <w:t>业务模式，以及滦平慧通光伏发电业务给公司能带来稳定收益。目前新能源汽车总成</w:t>
            </w:r>
            <w:proofErr w:type="gramStart"/>
            <w:r w:rsidRPr="001C752C">
              <w:rPr>
                <w:rFonts w:cs="宋体" w:hint="eastAsia"/>
                <w:kern w:val="0"/>
                <w:szCs w:val="24"/>
                <w:lang w:val="zh-CN"/>
              </w:rPr>
              <w:t>配套业务</w:t>
            </w:r>
            <w:proofErr w:type="gramEnd"/>
            <w:r w:rsidRPr="001C752C">
              <w:rPr>
                <w:rFonts w:cs="宋体" w:hint="eastAsia"/>
                <w:kern w:val="0"/>
                <w:szCs w:val="24"/>
                <w:lang w:val="zh-CN"/>
              </w:rPr>
              <w:t>及充电</w:t>
            </w:r>
            <w:proofErr w:type="gramStart"/>
            <w:r w:rsidRPr="001C752C">
              <w:rPr>
                <w:rFonts w:cs="宋体" w:hint="eastAsia"/>
                <w:kern w:val="0"/>
                <w:szCs w:val="24"/>
                <w:lang w:val="zh-CN"/>
              </w:rPr>
              <w:t>桩产业链业务</w:t>
            </w:r>
            <w:proofErr w:type="gramEnd"/>
            <w:r w:rsidRPr="001C752C">
              <w:rPr>
                <w:rFonts w:cs="宋体" w:hint="eastAsia"/>
                <w:kern w:val="0"/>
                <w:szCs w:val="24"/>
                <w:lang w:val="zh-CN"/>
              </w:rPr>
              <w:t>协同，正在快速发展。公司</w:t>
            </w:r>
            <w:r w:rsidRPr="001C752C">
              <w:rPr>
                <w:rFonts w:hint="eastAsia"/>
                <w:color w:val="000000"/>
                <w:szCs w:val="21"/>
              </w:rPr>
              <w:t>通过积极打造多层次</w:t>
            </w:r>
            <w:r w:rsidRPr="001C752C">
              <w:rPr>
                <w:rFonts w:hint="eastAsia"/>
                <w:color w:val="000000"/>
                <w:szCs w:val="21"/>
              </w:rPr>
              <w:lastRenderedPageBreak/>
              <w:t>节能环保业务平台，目前公司产业升级初见成效，进入发展的“快车道”</w:t>
            </w:r>
          </w:p>
          <w:p w:rsidR="00E238FD" w:rsidRDefault="00E238FD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proofErr w:type="gramStart"/>
            <w:r w:rsidRPr="00055962">
              <w:rPr>
                <w:rFonts w:hint="eastAsia"/>
                <w:bCs/>
                <w:color w:val="000000"/>
                <w:szCs w:val="21"/>
              </w:rPr>
              <w:t>合康动力</w:t>
            </w:r>
            <w:proofErr w:type="gramEnd"/>
            <w:r w:rsidRPr="00055962">
              <w:rPr>
                <w:rFonts w:hint="eastAsia"/>
                <w:bCs/>
                <w:color w:val="000000"/>
                <w:szCs w:val="21"/>
              </w:rPr>
              <w:t>新能源汽车方案覆盖新能源汽车主流技术：</w:t>
            </w:r>
            <w:r w:rsidRPr="00055962">
              <w:rPr>
                <w:bCs/>
                <w:color w:val="000000"/>
                <w:szCs w:val="21"/>
              </w:rPr>
              <w:t xml:space="preserve"> </w:t>
            </w:r>
            <w:r w:rsidRPr="00055962">
              <w:rPr>
                <w:color w:val="000000"/>
                <w:szCs w:val="21"/>
              </w:rPr>
              <w:t>1</w:t>
            </w:r>
            <w:r w:rsidRPr="00055962">
              <w:rPr>
                <w:rFonts w:hint="eastAsia"/>
                <w:color w:val="000000"/>
                <w:szCs w:val="21"/>
              </w:rPr>
              <w:t>、直驱纯电动系统；</w:t>
            </w:r>
            <w:r w:rsidRPr="00055962">
              <w:rPr>
                <w:color w:val="000000"/>
                <w:szCs w:val="21"/>
              </w:rPr>
              <w:t>2</w:t>
            </w:r>
            <w:r w:rsidRPr="00055962">
              <w:rPr>
                <w:rFonts w:hint="eastAsia"/>
                <w:color w:val="000000"/>
                <w:szCs w:val="21"/>
              </w:rPr>
              <w:t>、</w:t>
            </w:r>
            <w:r w:rsidRPr="00055962">
              <w:rPr>
                <w:color w:val="000000"/>
                <w:szCs w:val="21"/>
              </w:rPr>
              <w:t>AMT</w:t>
            </w:r>
            <w:r w:rsidRPr="00055962">
              <w:rPr>
                <w:rFonts w:hint="eastAsia"/>
                <w:color w:val="000000"/>
                <w:szCs w:val="21"/>
              </w:rPr>
              <w:t>纯电动系统；</w:t>
            </w:r>
            <w:r w:rsidRPr="00055962">
              <w:rPr>
                <w:color w:val="000000"/>
                <w:szCs w:val="21"/>
              </w:rPr>
              <w:t>3</w:t>
            </w:r>
            <w:r w:rsidRPr="00055962"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 w:rsidRPr="00055962">
              <w:rPr>
                <w:rFonts w:hint="eastAsia"/>
                <w:color w:val="000000"/>
                <w:szCs w:val="21"/>
              </w:rPr>
              <w:t>增程插电</w:t>
            </w:r>
            <w:proofErr w:type="gramEnd"/>
            <w:r w:rsidRPr="00055962">
              <w:rPr>
                <w:rFonts w:hint="eastAsia"/>
                <w:color w:val="000000"/>
                <w:szCs w:val="21"/>
              </w:rPr>
              <w:t>式系统；</w:t>
            </w:r>
            <w:r w:rsidRPr="00055962">
              <w:rPr>
                <w:color w:val="000000"/>
                <w:szCs w:val="21"/>
              </w:rPr>
              <w:t>4</w:t>
            </w:r>
            <w:r w:rsidRPr="00055962">
              <w:rPr>
                <w:rFonts w:hint="eastAsia"/>
                <w:color w:val="000000"/>
                <w:szCs w:val="21"/>
              </w:rPr>
              <w:t>、插电式</w:t>
            </w:r>
            <w:r w:rsidRPr="00055962">
              <w:rPr>
                <w:color w:val="000000"/>
                <w:szCs w:val="21"/>
              </w:rPr>
              <w:t>AMT</w:t>
            </w:r>
            <w:r w:rsidRPr="00055962">
              <w:rPr>
                <w:rFonts w:hint="eastAsia"/>
                <w:color w:val="000000"/>
                <w:szCs w:val="21"/>
              </w:rPr>
              <w:t>混合动力；</w:t>
            </w:r>
            <w:r w:rsidRPr="00055962">
              <w:rPr>
                <w:rFonts w:hint="eastAsia"/>
                <w:color w:val="000000"/>
                <w:szCs w:val="21"/>
              </w:rPr>
              <w:t xml:space="preserve"> </w:t>
            </w:r>
            <w:r w:rsidRPr="00055962">
              <w:rPr>
                <w:color w:val="000000"/>
                <w:szCs w:val="21"/>
              </w:rPr>
              <w:t>5</w:t>
            </w:r>
            <w:r w:rsidRPr="00055962">
              <w:rPr>
                <w:rFonts w:hint="eastAsia"/>
                <w:color w:val="000000"/>
                <w:szCs w:val="21"/>
              </w:rPr>
              <w:t>、</w:t>
            </w:r>
            <w:proofErr w:type="gramStart"/>
            <w:r w:rsidRPr="00055962">
              <w:rPr>
                <w:rFonts w:hint="eastAsia"/>
                <w:color w:val="000000"/>
                <w:szCs w:val="21"/>
              </w:rPr>
              <w:t>双源无轨电车</w:t>
            </w:r>
            <w:proofErr w:type="gramEnd"/>
            <w:r w:rsidRPr="00055962">
              <w:rPr>
                <w:rFonts w:hint="eastAsia"/>
                <w:color w:val="000000"/>
                <w:szCs w:val="21"/>
              </w:rPr>
              <w:t>系统；</w:t>
            </w:r>
            <w:r w:rsidRPr="00055962">
              <w:rPr>
                <w:color w:val="000000"/>
                <w:szCs w:val="21"/>
              </w:rPr>
              <w:t>6</w:t>
            </w:r>
            <w:r w:rsidRPr="00055962">
              <w:rPr>
                <w:rFonts w:hint="eastAsia"/>
                <w:color w:val="000000"/>
                <w:szCs w:val="21"/>
              </w:rPr>
              <w:t>、插电式混联混合动力。</w:t>
            </w:r>
            <w:proofErr w:type="gramStart"/>
            <w:r>
              <w:rPr>
                <w:rFonts w:hint="eastAsia"/>
                <w:color w:val="000000"/>
                <w:szCs w:val="21"/>
              </w:rPr>
              <w:t>合康动力</w:t>
            </w:r>
            <w:proofErr w:type="gramEnd"/>
            <w:r>
              <w:rPr>
                <w:rFonts w:hint="eastAsia"/>
                <w:color w:val="000000"/>
                <w:szCs w:val="21"/>
              </w:rPr>
              <w:t>近期新产品发布会上推出来的</w:t>
            </w:r>
            <w:r w:rsidRPr="009231CE">
              <w:rPr>
                <w:rFonts w:hint="eastAsia"/>
                <w:color w:val="000000"/>
                <w:szCs w:val="21"/>
              </w:rPr>
              <w:t>双向逆变电机控制器</w:t>
            </w:r>
            <w:r>
              <w:rPr>
                <w:rFonts w:hint="eastAsia"/>
                <w:color w:val="000000"/>
                <w:szCs w:val="21"/>
              </w:rPr>
              <w:t>的优点是</w:t>
            </w:r>
            <w:r w:rsidRPr="009231CE">
              <w:rPr>
                <w:rFonts w:hint="eastAsia"/>
                <w:color w:val="000000"/>
                <w:szCs w:val="21"/>
              </w:rPr>
              <w:t>在传统电机控制器的基础上，整合了交流充电技术，实现了车载交流大功率充电</w:t>
            </w:r>
            <w:r>
              <w:rPr>
                <w:rFonts w:hint="eastAsia"/>
                <w:color w:val="000000"/>
                <w:szCs w:val="21"/>
              </w:rPr>
              <w:t>，可以实现：</w:t>
            </w:r>
            <w:r w:rsidRPr="00660BE4">
              <w:rPr>
                <w:rFonts w:hint="eastAsia"/>
                <w:color w:val="000000"/>
                <w:szCs w:val="21"/>
              </w:rPr>
              <w:t>行车过程中，该设备用做电机控制</w:t>
            </w:r>
            <w:r>
              <w:rPr>
                <w:rFonts w:hint="eastAsia"/>
                <w:color w:val="000000"/>
                <w:szCs w:val="21"/>
              </w:rPr>
              <w:t>；</w:t>
            </w:r>
            <w:r w:rsidRPr="00660BE4">
              <w:rPr>
                <w:rFonts w:ascii="Times New Roman" w:hAnsi="Times New Roman" w:hint="eastAsia"/>
                <w:color w:val="000000"/>
                <w:szCs w:val="21"/>
              </w:rPr>
              <w:t>在车辆充电时，又可以作为车载充电机使用。</w:t>
            </w:r>
          </w:p>
          <w:p w:rsidR="00081959" w:rsidRPr="001C752C" w:rsidRDefault="00081959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2016</w:t>
            </w:r>
            <w:r w:rsidRPr="001C752C">
              <w:rPr>
                <w:rFonts w:hint="eastAsia"/>
                <w:color w:val="000000"/>
                <w:szCs w:val="21"/>
              </w:rPr>
              <w:t>年上半年，公司实现收入</w:t>
            </w:r>
            <w:r w:rsidRPr="001C752C">
              <w:rPr>
                <w:color w:val="000000"/>
                <w:szCs w:val="21"/>
              </w:rPr>
              <w:t>63,148.57</w:t>
            </w:r>
            <w:r w:rsidRPr="001C752C">
              <w:rPr>
                <w:rFonts w:hint="eastAsia"/>
                <w:color w:val="000000"/>
                <w:szCs w:val="21"/>
              </w:rPr>
              <w:t>万元，归属于上市公司股东的净利润</w:t>
            </w:r>
            <w:r w:rsidRPr="001C752C">
              <w:rPr>
                <w:color w:val="000000"/>
                <w:szCs w:val="21"/>
              </w:rPr>
              <w:t>10164.4</w:t>
            </w:r>
            <w:r w:rsidRPr="001C752C">
              <w:rPr>
                <w:rFonts w:hint="eastAsia"/>
                <w:color w:val="000000"/>
                <w:szCs w:val="21"/>
              </w:rPr>
              <w:t>万元。目前公司营业收入和利润发生了结构性改变，转型后的新型产业</w:t>
            </w:r>
            <w:r w:rsidRPr="001C752C">
              <w:rPr>
                <w:color w:val="000000"/>
                <w:szCs w:val="21"/>
              </w:rPr>
              <w:t>（</w:t>
            </w:r>
            <w:r w:rsidRPr="001C752C">
              <w:rPr>
                <w:rFonts w:hint="eastAsia"/>
                <w:color w:val="000000"/>
                <w:szCs w:val="21"/>
              </w:rPr>
              <w:t>节能环保项目建设及运营产业、新能源汽车总成配套及运营产业</w:t>
            </w:r>
            <w:r w:rsidRPr="001C752C">
              <w:rPr>
                <w:color w:val="000000"/>
                <w:szCs w:val="21"/>
              </w:rPr>
              <w:t>）</w:t>
            </w:r>
            <w:r w:rsidRPr="001C752C">
              <w:rPr>
                <w:rFonts w:hint="eastAsia"/>
                <w:color w:val="000000"/>
                <w:szCs w:val="21"/>
              </w:rPr>
              <w:t>收入和利润占比不断上升。</w:t>
            </w:r>
            <w:r w:rsidRPr="001C752C">
              <w:rPr>
                <w:rFonts w:hint="eastAsia"/>
                <w:color w:val="000000"/>
                <w:szCs w:val="21"/>
              </w:rPr>
              <w:t>2016</w:t>
            </w:r>
            <w:r w:rsidRPr="001C752C">
              <w:rPr>
                <w:rFonts w:hint="eastAsia"/>
                <w:color w:val="000000"/>
                <w:szCs w:val="21"/>
              </w:rPr>
              <w:t>年上半年，节能设备高端制造产业收入占比</w:t>
            </w:r>
            <w:r w:rsidRPr="001C752C">
              <w:rPr>
                <w:color w:val="000000"/>
                <w:szCs w:val="21"/>
              </w:rPr>
              <w:t>47.68%</w:t>
            </w:r>
            <w:r w:rsidRPr="001C752C">
              <w:rPr>
                <w:rFonts w:hint="eastAsia"/>
                <w:color w:val="000000"/>
                <w:szCs w:val="21"/>
              </w:rPr>
              <w:t>，新能源汽车总成配套及运营产业收入占比</w:t>
            </w:r>
            <w:r w:rsidRPr="001C752C">
              <w:rPr>
                <w:color w:val="000000"/>
                <w:szCs w:val="21"/>
              </w:rPr>
              <w:t>36.84%</w:t>
            </w:r>
            <w:r w:rsidRPr="001C752C">
              <w:rPr>
                <w:rFonts w:hint="eastAsia"/>
                <w:color w:val="000000"/>
                <w:szCs w:val="21"/>
              </w:rPr>
              <w:t>，节能环保项目建设与运营产业收入占比</w:t>
            </w:r>
            <w:r w:rsidRPr="001C752C">
              <w:rPr>
                <w:color w:val="000000"/>
                <w:szCs w:val="21"/>
              </w:rPr>
              <w:t>15.48%</w:t>
            </w:r>
            <w:r w:rsidRPr="001C752C">
              <w:rPr>
                <w:rFonts w:hint="eastAsia"/>
                <w:color w:val="000000"/>
                <w:szCs w:val="21"/>
              </w:rPr>
              <w:t>；节能设备高端制造产业利润占比</w:t>
            </w:r>
            <w:r w:rsidRPr="001C752C">
              <w:rPr>
                <w:color w:val="000000"/>
                <w:szCs w:val="21"/>
              </w:rPr>
              <w:t>38.31%</w:t>
            </w:r>
            <w:r w:rsidRPr="001C752C">
              <w:rPr>
                <w:rFonts w:hint="eastAsia"/>
                <w:color w:val="000000"/>
                <w:szCs w:val="21"/>
              </w:rPr>
              <w:t>，新能源汽车总成配套及运营产业利润占比</w:t>
            </w:r>
            <w:r w:rsidRPr="001C752C">
              <w:rPr>
                <w:color w:val="000000"/>
                <w:szCs w:val="21"/>
              </w:rPr>
              <w:t>35.61%</w:t>
            </w:r>
            <w:r w:rsidRPr="001C752C">
              <w:rPr>
                <w:rFonts w:hint="eastAsia"/>
                <w:color w:val="000000"/>
                <w:szCs w:val="21"/>
              </w:rPr>
              <w:t>，节能环保项目建设与运营产业利润占比</w:t>
            </w:r>
            <w:r w:rsidRPr="001C752C">
              <w:rPr>
                <w:color w:val="000000"/>
                <w:szCs w:val="21"/>
              </w:rPr>
              <w:t>26.08%</w:t>
            </w:r>
            <w:r w:rsidRPr="001C752C">
              <w:rPr>
                <w:rFonts w:hint="eastAsia"/>
                <w:color w:val="000000"/>
                <w:szCs w:val="21"/>
              </w:rPr>
              <w:t>。</w:t>
            </w:r>
          </w:p>
          <w:p w:rsidR="0044191F" w:rsidRPr="001C752C" w:rsidRDefault="00081959" w:rsidP="00F70BB3">
            <w:pPr>
              <w:pStyle w:val="1"/>
              <w:spacing w:beforeLines="50" w:line="360" w:lineRule="auto"/>
              <w:ind w:firstLine="420"/>
              <w:rPr>
                <w:rFonts w:ascii="宋体" w:hAnsi="宋体" w:cs="宋体"/>
                <w:kern w:val="0"/>
                <w:szCs w:val="24"/>
                <w:lang w:val="zh-CN"/>
              </w:rPr>
            </w:pPr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在新能源汽车领域，公司以产品为核心，智能充电网络和租车网络为平台，</w:t>
            </w:r>
            <w:proofErr w:type="gramStart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打造合康新能源</w:t>
            </w:r>
            <w:proofErr w:type="gramEnd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汽车生态圈。截止目前，</w:t>
            </w:r>
            <w:proofErr w:type="gramStart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合康动力以及合康智能</w:t>
            </w:r>
            <w:proofErr w:type="gramEnd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生产的新能源汽车总成配套、充电</w:t>
            </w:r>
            <w:proofErr w:type="gramStart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桩产业</w:t>
            </w:r>
            <w:proofErr w:type="gramEnd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链相关产品的销售份额稳定增长。北京畅的和武汉畅的开创租赁新模式，充分发挥建设者和服务者的双重角色，既可以为客户建设充电桩网络，也能为客户提供新能源汽车租赁业务。通过复制北京和武汉的发展模式，公司加快新能源汽车运营产业的布局，分别在河南平顶山、郑州、苏州、南京、烟台等城市新设子公司运营新能源汽车，迅速抢占市场份额。目前公司已经拥有乘用车、大巴车、中巴车、面包车、</w:t>
            </w:r>
            <w:proofErr w:type="gramStart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物流车</w:t>
            </w:r>
            <w:proofErr w:type="gramEnd"/>
            <w:r w:rsidRPr="001C752C">
              <w:rPr>
                <w:rFonts w:ascii="宋体" w:hAnsi="宋体" w:cs="宋体" w:hint="eastAsia"/>
                <w:kern w:val="0"/>
                <w:szCs w:val="24"/>
                <w:lang w:val="zh-CN"/>
              </w:rPr>
              <w:t>等多种用途的新能源汽车。</w:t>
            </w:r>
          </w:p>
          <w:p w:rsidR="00081959" w:rsidRPr="00343F21" w:rsidRDefault="0044191F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除此之外，公司也在着手参与平顶山的城市公交车系统改革。</w:t>
            </w:r>
          </w:p>
          <w:p w:rsidR="006C2072" w:rsidRPr="001C752C" w:rsidRDefault="006C2072" w:rsidP="00F70BB3">
            <w:pPr>
              <w:pStyle w:val="1"/>
              <w:spacing w:beforeLines="50" w:line="360" w:lineRule="auto"/>
              <w:ind w:firstLine="422"/>
              <w:rPr>
                <w:b/>
                <w:color w:val="000000"/>
                <w:szCs w:val="21"/>
              </w:rPr>
            </w:pPr>
            <w:r w:rsidRPr="001C752C">
              <w:rPr>
                <w:rFonts w:hint="eastAsia"/>
                <w:b/>
                <w:color w:val="000000"/>
                <w:szCs w:val="21"/>
              </w:rPr>
              <w:lastRenderedPageBreak/>
              <w:t>二、</w:t>
            </w:r>
            <w:r w:rsidRPr="001C752C">
              <w:rPr>
                <w:b/>
                <w:color w:val="000000"/>
                <w:szCs w:val="21"/>
              </w:rPr>
              <w:t xml:space="preserve"> </w:t>
            </w:r>
            <w:r w:rsidRPr="001C752C">
              <w:rPr>
                <w:rFonts w:hint="eastAsia"/>
                <w:b/>
                <w:color w:val="000000"/>
                <w:szCs w:val="21"/>
              </w:rPr>
              <w:t>互动环节：</w:t>
            </w:r>
          </w:p>
          <w:p w:rsidR="005E69CD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目前合康动力</w:t>
            </w:r>
            <w:proofErr w:type="gramEnd"/>
            <w:r>
              <w:rPr>
                <w:rFonts w:hint="eastAsia"/>
                <w:szCs w:val="21"/>
              </w:rPr>
              <w:t>的产品主要是针对新能源大巴车，新能源乘用车的应用预计什么时候开始？</w:t>
            </w:r>
          </w:p>
          <w:p w:rsidR="00E07A89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答：预计要到明年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月份。</w:t>
            </w:r>
            <w:proofErr w:type="gramStart"/>
            <w:r>
              <w:rPr>
                <w:rFonts w:hint="eastAsia"/>
                <w:szCs w:val="21"/>
              </w:rPr>
              <w:t>现在合康动力</w:t>
            </w:r>
            <w:proofErr w:type="gramEnd"/>
            <w:r>
              <w:rPr>
                <w:rFonts w:hint="eastAsia"/>
                <w:szCs w:val="21"/>
              </w:rPr>
              <w:t>应用在新能源乘用车的产品还在研发、实验阶段。</w:t>
            </w:r>
          </w:p>
          <w:p w:rsidR="005E69CD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、新能源乘用车的配套产品生产</w:t>
            </w:r>
            <w:r w:rsidR="00E07A89">
              <w:rPr>
                <w:rFonts w:hint="eastAsia"/>
                <w:szCs w:val="21"/>
              </w:rPr>
              <w:t>数</w:t>
            </w:r>
            <w:r>
              <w:rPr>
                <w:rFonts w:hint="eastAsia"/>
                <w:szCs w:val="21"/>
              </w:rPr>
              <w:t>量有规划</w:t>
            </w:r>
            <w:r w:rsidR="00E07A89">
              <w:rPr>
                <w:rFonts w:hint="eastAsia"/>
                <w:szCs w:val="21"/>
              </w:rPr>
              <w:t>吗</w:t>
            </w:r>
            <w:r>
              <w:rPr>
                <w:rFonts w:hint="eastAsia"/>
                <w:szCs w:val="21"/>
              </w:rPr>
              <w:t>？</w:t>
            </w:r>
          </w:p>
          <w:p w:rsidR="00E07A89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答：这个还不好说。</w:t>
            </w:r>
            <w:r w:rsidR="00E07A89">
              <w:rPr>
                <w:rFonts w:hint="eastAsia"/>
                <w:szCs w:val="21"/>
              </w:rPr>
              <w:t>产量</w:t>
            </w:r>
            <w:r>
              <w:rPr>
                <w:rFonts w:hint="eastAsia"/>
                <w:szCs w:val="21"/>
              </w:rPr>
              <w:t>要考虑产品性能、质量等多方面因素。公司会先试用一定时间。</w:t>
            </w:r>
          </w:p>
          <w:p w:rsidR="00AA2DE8" w:rsidRDefault="00C66EF6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、目前</w:t>
            </w:r>
            <w:r w:rsidR="00AA2DE8">
              <w:rPr>
                <w:rFonts w:hint="eastAsia"/>
                <w:szCs w:val="21"/>
              </w:rPr>
              <w:t>新能源汽车的客户主要是哪些？</w:t>
            </w:r>
          </w:p>
          <w:p w:rsidR="00AA2DE8" w:rsidRDefault="00AA2DE8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答：国内的前几大客车厂商</w:t>
            </w:r>
            <w:proofErr w:type="gramStart"/>
            <w:r w:rsidR="0072601D">
              <w:rPr>
                <w:rFonts w:hint="eastAsia"/>
                <w:szCs w:val="21"/>
              </w:rPr>
              <w:t>除了宇</w:t>
            </w:r>
            <w:proofErr w:type="gramEnd"/>
            <w:r w:rsidR="0072601D">
              <w:rPr>
                <w:rFonts w:hint="eastAsia"/>
                <w:szCs w:val="21"/>
              </w:rPr>
              <w:t>通，我们</w:t>
            </w:r>
            <w:r>
              <w:rPr>
                <w:rFonts w:hint="eastAsia"/>
                <w:szCs w:val="21"/>
              </w:rPr>
              <w:t>都有合作。</w:t>
            </w:r>
            <w:r w:rsidR="0072601D">
              <w:rPr>
                <w:rFonts w:hint="eastAsia"/>
                <w:szCs w:val="21"/>
              </w:rPr>
              <w:t>订单贡献最大的</w:t>
            </w:r>
            <w:r>
              <w:rPr>
                <w:rFonts w:hint="eastAsia"/>
                <w:szCs w:val="21"/>
              </w:rPr>
              <w:t>主要有</w:t>
            </w:r>
            <w:r w:rsidRPr="0072601D">
              <w:rPr>
                <w:rFonts w:hint="eastAsia"/>
                <w:szCs w:val="21"/>
              </w:rPr>
              <w:t>中通、金龙、东风、少林、舒驰等</w:t>
            </w:r>
            <w:r>
              <w:rPr>
                <w:rFonts w:hint="eastAsia"/>
                <w:szCs w:val="21"/>
              </w:rPr>
              <w:t>。</w:t>
            </w:r>
            <w:r w:rsidR="003A4247">
              <w:rPr>
                <w:rFonts w:hint="eastAsia"/>
                <w:szCs w:val="21"/>
              </w:rPr>
              <w:t>公司目前也在与宇通洽谈，未来不排除合作的可能性。</w:t>
            </w:r>
          </w:p>
          <w:p w:rsidR="00A3700F" w:rsidRDefault="00A3700F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B35D80"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AMT</w:t>
            </w:r>
            <w:r>
              <w:rPr>
                <w:rFonts w:hint="eastAsia"/>
                <w:szCs w:val="21"/>
              </w:rPr>
              <w:t>产品的优点</w:t>
            </w:r>
            <w:r w:rsidR="00B35D80">
              <w:rPr>
                <w:rFonts w:hint="eastAsia"/>
                <w:szCs w:val="21"/>
              </w:rPr>
              <w:t>？</w:t>
            </w:r>
          </w:p>
          <w:p w:rsidR="00A3700F" w:rsidRPr="00A3700F" w:rsidRDefault="00A3700F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</w:t>
            </w:r>
            <w:r>
              <w:rPr>
                <w:rFonts w:hint="eastAsia"/>
                <w:szCs w:val="21"/>
              </w:rPr>
              <w:t>AMT</w:t>
            </w:r>
            <w:r>
              <w:rPr>
                <w:rFonts w:hint="eastAsia"/>
                <w:szCs w:val="21"/>
              </w:rPr>
              <w:t>动力总成打破了国外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年垄断技术。目前国内</w:t>
            </w:r>
            <w:r w:rsidRPr="00A3700F">
              <w:rPr>
                <w:rFonts w:hint="eastAsia"/>
                <w:szCs w:val="21"/>
              </w:rPr>
              <w:t>AMT</w:t>
            </w:r>
            <w:r w:rsidRPr="00A3700F">
              <w:rPr>
                <w:rFonts w:hint="eastAsia"/>
                <w:szCs w:val="21"/>
              </w:rPr>
              <w:t>动力系统总成只有三家能生产：南京</w:t>
            </w:r>
            <w:r w:rsidR="001F51E9">
              <w:rPr>
                <w:rFonts w:hint="eastAsia"/>
                <w:szCs w:val="21"/>
              </w:rPr>
              <w:t>越</w:t>
            </w:r>
            <w:r w:rsidR="001F51E9" w:rsidRPr="00A3700F">
              <w:rPr>
                <w:rFonts w:hint="eastAsia"/>
                <w:szCs w:val="21"/>
              </w:rPr>
              <w:t>博</w:t>
            </w:r>
            <w:r w:rsidRPr="00A3700F">
              <w:rPr>
                <w:rFonts w:hint="eastAsia"/>
                <w:szCs w:val="21"/>
              </w:rPr>
              <w:t>，苏州绿控，</w:t>
            </w:r>
            <w:proofErr w:type="gramStart"/>
            <w:r w:rsidRPr="00A3700F">
              <w:rPr>
                <w:rFonts w:hint="eastAsia"/>
                <w:szCs w:val="21"/>
              </w:rPr>
              <w:t>合康动力</w:t>
            </w:r>
            <w:proofErr w:type="gramEnd"/>
            <w:r>
              <w:rPr>
                <w:rFonts w:hint="eastAsia"/>
                <w:szCs w:val="21"/>
              </w:rPr>
              <w:t>。</w:t>
            </w:r>
            <w:r w:rsidR="001821B0">
              <w:rPr>
                <w:rFonts w:hint="eastAsia"/>
                <w:szCs w:val="21"/>
              </w:rPr>
              <w:t>AMT</w:t>
            </w:r>
            <w:r w:rsidR="001821B0">
              <w:rPr>
                <w:rFonts w:hint="eastAsia"/>
                <w:szCs w:val="21"/>
              </w:rPr>
              <w:t>在山区便于爬坡，在</w:t>
            </w:r>
            <w:r w:rsidR="00980F20">
              <w:rPr>
                <w:rFonts w:hint="eastAsia"/>
                <w:szCs w:val="21"/>
              </w:rPr>
              <w:t>平原地区</w:t>
            </w:r>
            <w:r w:rsidR="001821B0">
              <w:rPr>
                <w:rFonts w:hint="eastAsia"/>
                <w:szCs w:val="21"/>
              </w:rPr>
              <w:t>，可以增加续航能力</w:t>
            </w:r>
            <w:r w:rsidR="00980F20">
              <w:rPr>
                <w:rFonts w:hint="eastAsia"/>
                <w:szCs w:val="21"/>
              </w:rPr>
              <w:t>。</w:t>
            </w:r>
          </w:p>
          <w:p w:rsidR="005E69CD" w:rsidRDefault="00806A36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5E69CD">
              <w:rPr>
                <w:rFonts w:hint="eastAsia"/>
                <w:szCs w:val="21"/>
              </w:rPr>
              <w:t>、公司上半年签订的</w:t>
            </w:r>
            <w:r w:rsidR="005E69CD">
              <w:rPr>
                <w:rFonts w:hint="eastAsia"/>
                <w:szCs w:val="21"/>
              </w:rPr>
              <w:t>4.26</w:t>
            </w:r>
            <w:r w:rsidR="005E69CD">
              <w:rPr>
                <w:rFonts w:hint="eastAsia"/>
                <w:szCs w:val="21"/>
              </w:rPr>
              <w:t>亿的</w:t>
            </w:r>
            <w:r w:rsidR="005E69CD" w:rsidRPr="00807AB4">
              <w:rPr>
                <w:rFonts w:hint="eastAsia"/>
                <w:szCs w:val="21"/>
              </w:rPr>
              <w:t>新能源汽车总成配套及运营产业</w:t>
            </w:r>
            <w:r w:rsidR="005E69CD">
              <w:rPr>
                <w:rFonts w:hint="eastAsia"/>
                <w:szCs w:val="21"/>
              </w:rPr>
              <w:t>订单都是</w:t>
            </w:r>
            <w:r w:rsidR="005E69CD">
              <w:rPr>
                <w:rFonts w:hint="eastAsia"/>
                <w:szCs w:val="21"/>
              </w:rPr>
              <w:t>AMT</w:t>
            </w:r>
            <w:r w:rsidR="005E69CD">
              <w:rPr>
                <w:rFonts w:hint="eastAsia"/>
                <w:szCs w:val="21"/>
              </w:rPr>
              <w:t>产品吗？</w:t>
            </w:r>
          </w:p>
          <w:p w:rsidR="005E69CD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答：不是，</w:t>
            </w:r>
            <w:r>
              <w:rPr>
                <w:rFonts w:hint="eastAsia"/>
                <w:szCs w:val="21"/>
              </w:rPr>
              <w:t>4.26</w:t>
            </w:r>
            <w:r>
              <w:rPr>
                <w:rFonts w:hint="eastAsia"/>
                <w:szCs w:val="21"/>
              </w:rPr>
              <w:t>亿的订单含有全部的新能源总成配套及运营产业的订单，不只是包括</w:t>
            </w:r>
            <w:r>
              <w:rPr>
                <w:rFonts w:hint="eastAsia"/>
                <w:szCs w:val="21"/>
              </w:rPr>
              <w:t>AMT</w:t>
            </w:r>
            <w:r>
              <w:rPr>
                <w:rFonts w:hint="eastAsia"/>
                <w:szCs w:val="21"/>
              </w:rPr>
              <w:t>。</w:t>
            </w:r>
          </w:p>
          <w:p w:rsidR="005E69CD" w:rsidRDefault="00806A36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 w:rsidR="005E69CD">
              <w:rPr>
                <w:rFonts w:hint="eastAsia"/>
                <w:szCs w:val="21"/>
              </w:rPr>
              <w:t>公司高压变频器毛利率下降的原因？</w:t>
            </w:r>
          </w:p>
          <w:p w:rsidR="005E69CD" w:rsidRDefault="005E69C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答：中国的制造行业正处于困难时期，钢铁、煤炭、电力行业都不是那么景气。虽然如此，我们公司的高压变频器的现金</w:t>
            </w:r>
            <w:proofErr w:type="gramStart"/>
            <w:r>
              <w:rPr>
                <w:rFonts w:hint="eastAsia"/>
                <w:szCs w:val="21"/>
              </w:rPr>
              <w:t>流还是</w:t>
            </w:r>
            <w:proofErr w:type="gramEnd"/>
            <w:r>
              <w:rPr>
                <w:rFonts w:hint="eastAsia"/>
                <w:szCs w:val="21"/>
              </w:rPr>
              <w:t>比较好的。公司会努力保持行业的领先地位，保持行业的增长。行业有周期性，公司相信制造业的困难是暂时的，早晚都会好转。</w:t>
            </w:r>
          </w:p>
          <w:p w:rsidR="005C09A7" w:rsidRPr="00B3455F" w:rsidRDefault="00F423F2" w:rsidP="00F70BB3">
            <w:pPr>
              <w:pStyle w:val="ac"/>
              <w:spacing w:beforeLines="50" w:line="360" w:lineRule="auto"/>
              <w:ind w:firstLineChars="199" w:firstLine="418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7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5C09A7">
              <w:rPr>
                <w:rFonts w:hint="eastAsia"/>
                <w:color w:val="000000"/>
                <w:szCs w:val="21"/>
              </w:rPr>
              <w:t>公司生产的</w:t>
            </w:r>
            <w:r w:rsidR="005C09A7" w:rsidRPr="00B3455F">
              <w:rPr>
                <w:rFonts w:hint="eastAsia"/>
                <w:color w:val="000000"/>
                <w:szCs w:val="21"/>
              </w:rPr>
              <w:t>充电</w:t>
            </w:r>
            <w:proofErr w:type="gramStart"/>
            <w:r w:rsidR="005C09A7" w:rsidRPr="00B3455F">
              <w:rPr>
                <w:rFonts w:hint="eastAsia"/>
                <w:color w:val="000000"/>
                <w:szCs w:val="21"/>
              </w:rPr>
              <w:t>桩只是</w:t>
            </w:r>
            <w:proofErr w:type="gramEnd"/>
            <w:r w:rsidR="005C09A7" w:rsidRPr="00B3455F">
              <w:rPr>
                <w:rFonts w:hint="eastAsia"/>
                <w:color w:val="000000"/>
                <w:szCs w:val="21"/>
              </w:rPr>
              <w:t>内部销售吗？</w:t>
            </w:r>
          </w:p>
          <w:p w:rsidR="005C09A7" w:rsidRDefault="005C09A7" w:rsidP="00F70BB3">
            <w:pPr>
              <w:pStyle w:val="ac"/>
              <w:spacing w:beforeLines="50" w:line="360" w:lineRule="auto"/>
              <w:ind w:firstLineChars="199" w:firstLine="418"/>
              <w:rPr>
                <w:color w:val="000000"/>
                <w:szCs w:val="21"/>
                <w:highlight w:val="yellow"/>
              </w:rPr>
            </w:pPr>
            <w:r w:rsidRPr="00B3455F">
              <w:rPr>
                <w:rFonts w:hint="eastAsia"/>
                <w:color w:val="000000"/>
                <w:szCs w:val="21"/>
              </w:rPr>
              <w:t>答：不是只有内部销售。除了北京和武汉两大基地有建设充电桩外，目前已经在社区、产业园、商场</w:t>
            </w:r>
            <w:r>
              <w:rPr>
                <w:rFonts w:hint="eastAsia"/>
                <w:color w:val="000000"/>
                <w:szCs w:val="21"/>
              </w:rPr>
              <w:t>、酒店、超市等地方投放充电桩，另外，</w:t>
            </w:r>
            <w:r w:rsidR="000F37BC">
              <w:rPr>
                <w:rFonts w:hint="eastAsia"/>
                <w:color w:val="000000"/>
                <w:szCs w:val="21"/>
              </w:rPr>
              <w:t>根据客户需要，</w:t>
            </w:r>
            <w:r w:rsidRPr="008A5FE2">
              <w:rPr>
                <w:rFonts w:hint="eastAsia"/>
                <w:color w:val="000000"/>
                <w:szCs w:val="21"/>
              </w:rPr>
              <w:t>公司在给整车厂提供</w:t>
            </w:r>
            <w:r>
              <w:rPr>
                <w:rFonts w:hint="eastAsia"/>
                <w:color w:val="000000"/>
                <w:szCs w:val="21"/>
              </w:rPr>
              <w:t>新能源汽车</w:t>
            </w:r>
            <w:r w:rsidRPr="008A5FE2">
              <w:rPr>
                <w:rFonts w:hint="eastAsia"/>
                <w:color w:val="000000"/>
                <w:szCs w:val="21"/>
              </w:rPr>
              <w:t>总成</w:t>
            </w:r>
            <w:r>
              <w:rPr>
                <w:rFonts w:hint="eastAsia"/>
                <w:color w:val="000000"/>
                <w:szCs w:val="21"/>
              </w:rPr>
              <w:t>的同时</w:t>
            </w:r>
            <w:r w:rsidRPr="008A5FE2">
              <w:rPr>
                <w:rFonts w:hint="eastAsia"/>
                <w:color w:val="000000"/>
                <w:szCs w:val="21"/>
              </w:rPr>
              <w:t>也会配套提供充电桩</w:t>
            </w:r>
            <w:r w:rsidR="00E07A89">
              <w:rPr>
                <w:rFonts w:hint="eastAsia"/>
                <w:color w:val="000000"/>
                <w:szCs w:val="21"/>
              </w:rPr>
              <w:t>。</w:t>
            </w:r>
          </w:p>
          <w:p w:rsidR="005C09A7" w:rsidRDefault="00F423F2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5C09A7">
              <w:rPr>
                <w:rFonts w:hint="eastAsia"/>
                <w:color w:val="000000"/>
                <w:szCs w:val="21"/>
              </w:rPr>
              <w:t>公司购买新能源汽车车辆的资金来源？</w:t>
            </w:r>
          </w:p>
          <w:p w:rsidR="005C09A7" w:rsidRPr="00AA2F11" w:rsidRDefault="005C09A7" w:rsidP="00F70BB3">
            <w:pPr>
              <w:pStyle w:val="ac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答：主要使用金融创新手段，比如开展售后回租业务以实现轻资产运营。</w:t>
            </w:r>
            <w:r w:rsidR="00AA2F11">
              <w:rPr>
                <w:rFonts w:hint="eastAsia"/>
                <w:color w:val="000000"/>
                <w:szCs w:val="21"/>
              </w:rPr>
              <w:t>公司只需每月</w:t>
            </w:r>
            <w:proofErr w:type="gramStart"/>
            <w:r w:rsidR="00AA2F11">
              <w:rPr>
                <w:rFonts w:hint="eastAsia"/>
                <w:color w:val="000000"/>
                <w:szCs w:val="21"/>
              </w:rPr>
              <w:t>付固定</w:t>
            </w:r>
            <w:proofErr w:type="gramEnd"/>
            <w:r w:rsidR="00AA2F11">
              <w:rPr>
                <w:rFonts w:hint="eastAsia"/>
                <w:color w:val="000000"/>
                <w:szCs w:val="21"/>
              </w:rPr>
              <w:t>的租金。</w:t>
            </w:r>
          </w:p>
          <w:p w:rsidR="001D13E7" w:rsidRPr="001C752C" w:rsidRDefault="008C254D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1D13E7" w:rsidRPr="001C752C">
              <w:rPr>
                <w:rFonts w:hint="eastAsia"/>
                <w:szCs w:val="21"/>
              </w:rPr>
              <w:t>、</w:t>
            </w:r>
            <w:r w:rsidR="00F71426" w:rsidRPr="001C752C">
              <w:rPr>
                <w:rFonts w:hint="eastAsia"/>
                <w:szCs w:val="21"/>
              </w:rPr>
              <w:t>公司现在有</w:t>
            </w:r>
            <w:r w:rsidR="001D13E7" w:rsidRPr="001C752C">
              <w:rPr>
                <w:rFonts w:hint="eastAsia"/>
                <w:szCs w:val="21"/>
              </w:rPr>
              <w:t>运营多少辆</w:t>
            </w:r>
            <w:r w:rsidR="00F71426" w:rsidRPr="001C752C">
              <w:rPr>
                <w:rFonts w:hint="eastAsia"/>
                <w:szCs w:val="21"/>
              </w:rPr>
              <w:t>新能源汽车</w:t>
            </w:r>
            <w:r w:rsidR="001D13E7" w:rsidRPr="001C752C">
              <w:rPr>
                <w:rFonts w:hint="eastAsia"/>
                <w:szCs w:val="21"/>
              </w:rPr>
              <w:t>？</w:t>
            </w:r>
          </w:p>
          <w:p w:rsidR="001D13E7" w:rsidRPr="001C752C" w:rsidRDefault="001D13E7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szCs w:val="21"/>
              </w:rPr>
              <w:t>答：</w:t>
            </w:r>
            <w:r w:rsidR="00F71426" w:rsidRPr="001C752C">
              <w:rPr>
                <w:rFonts w:hint="eastAsia"/>
                <w:szCs w:val="21"/>
              </w:rPr>
              <w:t>运营总数</w:t>
            </w:r>
            <w:r w:rsidRPr="001C752C">
              <w:rPr>
                <w:rFonts w:hint="eastAsia"/>
                <w:szCs w:val="21"/>
              </w:rPr>
              <w:t>不到</w:t>
            </w:r>
            <w:r w:rsidRPr="001C752C">
              <w:rPr>
                <w:rFonts w:hint="eastAsia"/>
                <w:szCs w:val="21"/>
              </w:rPr>
              <w:t>500</w:t>
            </w:r>
            <w:r w:rsidRPr="001C752C">
              <w:rPr>
                <w:rFonts w:hint="eastAsia"/>
                <w:szCs w:val="21"/>
              </w:rPr>
              <w:t>辆。</w:t>
            </w:r>
            <w:proofErr w:type="gramStart"/>
            <w:r w:rsidRPr="001C752C">
              <w:rPr>
                <w:rFonts w:hint="eastAsia"/>
                <w:color w:val="000000"/>
                <w:szCs w:val="21"/>
              </w:rPr>
              <w:t>物流车</w:t>
            </w:r>
            <w:proofErr w:type="gramEnd"/>
            <w:r w:rsidRPr="001C752C">
              <w:rPr>
                <w:rFonts w:hint="eastAsia"/>
                <w:color w:val="000000"/>
                <w:szCs w:val="21"/>
              </w:rPr>
              <w:t>不到</w:t>
            </w:r>
            <w:r w:rsidRPr="001C752C">
              <w:rPr>
                <w:rFonts w:hint="eastAsia"/>
                <w:color w:val="000000"/>
                <w:szCs w:val="21"/>
              </w:rPr>
              <w:t>100</w:t>
            </w:r>
            <w:r w:rsidRPr="001C752C">
              <w:rPr>
                <w:rFonts w:hint="eastAsia"/>
                <w:color w:val="000000"/>
                <w:szCs w:val="21"/>
              </w:rPr>
              <w:t>台，乘用车大概</w:t>
            </w:r>
            <w:r w:rsidRPr="001C752C">
              <w:rPr>
                <w:rFonts w:hint="eastAsia"/>
                <w:color w:val="000000"/>
                <w:szCs w:val="21"/>
              </w:rPr>
              <w:t>100</w:t>
            </w:r>
            <w:r w:rsidRPr="001C752C">
              <w:rPr>
                <w:rFonts w:hint="eastAsia"/>
                <w:color w:val="000000"/>
                <w:szCs w:val="21"/>
              </w:rPr>
              <w:t>台左右。其余就是大巴车、中巴车。</w:t>
            </w:r>
          </w:p>
          <w:p w:rsidR="001D13E7" w:rsidRPr="001C752C" w:rsidRDefault="00AA2F11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 w:rsidR="008B5388">
              <w:rPr>
                <w:rFonts w:hint="eastAsia"/>
                <w:color w:val="000000"/>
                <w:szCs w:val="21"/>
              </w:rPr>
              <w:t>、</w:t>
            </w:r>
            <w:r w:rsidR="001D13E7" w:rsidRPr="001C752C">
              <w:rPr>
                <w:rFonts w:hint="eastAsia"/>
                <w:color w:val="000000"/>
                <w:szCs w:val="21"/>
              </w:rPr>
              <w:t>今年预计新能源汽车运营和</w:t>
            </w:r>
            <w:proofErr w:type="gramStart"/>
            <w:r w:rsidR="001D13E7" w:rsidRPr="001C752C">
              <w:rPr>
                <w:rFonts w:hint="eastAsia"/>
                <w:color w:val="000000"/>
                <w:szCs w:val="21"/>
              </w:rPr>
              <w:t>充电</w:t>
            </w:r>
            <w:r w:rsidR="008B5388">
              <w:rPr>
                <w:rFonts w:hint="eastAsia"/>
                <w:color w:val="000000"/>
                <w:szCs w:val="21"/>
              </w:rPr>
              <w:t>桩</w:t>
            </w:r>
            <w:r w:rsidR="001D13E7" w:rsidRPr="001C752C">
              <w:rPr>
                <w:rFonts w:hint="eastAsia"/>
                <w:color w:val="000000"/>
                <w:szCs w:val="21"/>
              </w:rPr>
              <w:t>会贡献</w:t>
            </w:r>
            <w:proofErr w:type="gramEnd"/>
            <w:r w:rsidR="001D13E7" w:rsidRPr="001C752C">
              <w:rPr>
                <w:rFonts w:hint="eastAsia"/>
                <w:color w:val="000000"/>
                <w:szCs w:val="21"/>
              </w:rPr>
              <w:t>利润吗？</w:t>
            </w:r>
          </w:p>
          <w:p w:rsidR="001D13E7" w:rsidRDefault="001D13E7" w:rsidP="00F70BB3">
            <w:pPr>
              <w:pStyle w:val="1"/>
              <w:spacing w:beforeLines="50" w:line="360" w:lineRule="auto"/>
              <w:ind w:firstLine="420"/>
              <w:rPr>
                <w:color w:val="000000"/>
                <w:szCs w:val="21"/>
              </w:rPr>
            </w:pPr>
            <w:r w:rsidRPr="001C752C">
              <w:rPr>
                <w:rFonts w:hint="eastAsia"/>
                <w:color w:val="000000"/>
                <w:szCs w:val="21"/>
              </w:rPr>
              <w:t>答：乘用车今年还不能实现盈利，公司的目标是</w:t>
            </w:r>
            <w:r w:rsidRPr="001C752C">
              <w:rPr>
                <w:rFonts w:hint="eastAsia"/>
                <w:color w:val="000000"/>
                <w:szCs w:val="21"/>
              </w:rPr>
              <w:t>2017</w:t>
            </w:r>
            <w:r w:rsidRPr="001C752C">
              <w:rPr>
                <w:rFonts w:hint="eastAsia"/>
                <w:color w:val="000000"/>
                <w:szCs w:val="21"/>
              </w:rPr>
              <w:t>年实现盈利。大巴车配套充电桩运营，估计今年可以实现微利。</w:t>
            </w:r>
          </w:p>
          <w:p w:rsidR="001F51E9" w:rsidRPr="006A623C" w:rsidRDefault="001F51E9" w:rsidP="00F70BB3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 w:rsidRPr="006A623C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6A623C">
              <w:rPr>
                <w:rFonts w:hint="eastAsia"/>
                <w:szCs w:val="21"/>
              </w:rPr>
              <w:t>华泰润达目前的</w:t>
            </w:r>
            <w:r>
              <w:rPr>
                <w:rFonts w:hint="eastAsia"/>
                <w:szCs w:val="21"/>
              </w:rPr>
              <w:t>订单主要</w:t>
            </w:r>
            <w:r w:rsidRPr="006A623C">
              <w:rPr>
                <w:rFonts w:hint="eastAsia"/>
                <w:szCs w:val="21"/>
              </w:rPr>
              <w:t>有哪些</w:t>
            </w:r>
            <w:r>
              <w:rPr>
                <w:rFonts w:hint="eastAsia"/>
                <w:szCs w:val="21"/>
              </w:rPr>
              <w:t>项目</w:t>
            </w:r>
            <w:r w:rsidRPr="006A623C">
              <w:rPr>
                <w:rFonts w:hint="eastAsia"/>
                <w:szCs w:val="21"/>
              </w:rPr>
              <w:t>？</w:t>
            </w:r>
          </w:p>
          <w:p w:rsidR="00986613" w:rsidRPr="00DA03DD" w:rsidRDefault="001F51E9" w:rsidP="0050157A">
            <w:pPr>
              <w:pStyle w:val="1"/>
              <w:spacing w:beforeLines="50" w:line="360" w:lineRule="auto"/>
              <w:ind w:firstLine="420"/>
              <w:rPr>
                <w:szCs w:val="21"/>
              </w:rPr>
            </w:pPr>
            <w:r w:rsidRPr="00DA03DD">
              <w:rPr>
                <w:rFonts w:hint="eastAsia"/>
                <w:szCs w:val="21"/>
              </w:rPr>
              <w:t>答：目前的</w:t>
            </w:r>
            <w:r w:rsidR="00BB71C8" w:rsidRPr="00DA03DD">
              <w:rPr>
                <w:rFonts w:hint="eastAsia"/>
                <w:szCs w:val="21"/>
              </w:rPr>
              <w:t>已经</w:t>
            </w:r>
            <w:r w:rsidR="0050157A">
              <w:rPr>
                <w:rFonts w:hint="eastAsia"/>
                <w:szCs w:val="21"/>
              </w:rPr>
              <w:t>签署的订单</w:t>
            </w:r>
            <w:r w:rsidRPr="00DA03DD">
              <w:rPr>
                <w:rFonts w:hint="eastAsia"/>
                <w:szCs w:val="21"/>
              </w:rPr>
              <w:t>包括</w:t>
            </w:r>
            <w:r w:rsidR="00F70BB3">
              <w:rPr>
                <w:rFonts w:hint="eastAsia"/>
                <w:szCs w:val="21"/>
              </w:rPr>
              <w:t>河南能信</w:t>
            </w:r>
            <w:r w:rsidR="00F70BB3" w:rsidRPr="00DA03DD">
              <w:rPr>
                <w:rFonts w:hint="eastAsia"/>
                <w:szCs w:val="21"/>
              </w:rPr>
              <w:t>超低排放</w:t>
            </w:r>
            <w:r w:rsidR="00F70BB3">
              <w:rPr>
                <w:rFonts w:hint="eastAsia"/>
                <w:szCs w:val="21"/>
              </w:rPr>
              <w:t>项目</w:t>
            </w:r>
            <w:r w:rsidRPr="00DA03DD">
              <w:rPr>
                <w:rFonts w:hint="eastAsia"/>
                <w:szCs w:val="21"/>
              </w:rPr>
              <w:t>、延庆垃圾综合处理，丰台餐厨垃圾处理、西宁特钢高炉冲渣水余热回收利用工程等。</w:t>
            </w:r>
          </w:p>
        </w:tc>
      </w:tr>
      <w:tr w:rsidR="00A266D0" w:rsidRPr="001C752C">
        <w:tc>
          <w:tcPr>
            <w:tcW w:w="1908" w:type="dxa"/>
            <w:vAlign w:val="center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lastRenderedPageBreak/>
              <w:t>附件清单</w:t>
            </w:r>
          </w:p>
        </w:tc>
        <w:tc>
          <w:tcPr>
            <w:tcW w:w="6614" w:type="dxa"/>
          </w:tcPr>
          <w:p w:rsidR="00A266D0" w:rsidRPr="001C752C" w:rsidRDefault="00A266D0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</w:p>
        </w:tc>
      </w:tr>
      <w:tr w:rsidR="00A266D0" w:rsidRPr="006A623C">
        <w:tc>
          <w:tcPr>
            <w:tcW w:w="1908" w:type="dxa"/>
            <w:vAlign w:val="center"/>
          </w:tcPr>
          <w:p w:rsidR="00A266D0" w:rsidRPr="001C752C" w:rsidRDefault="000F6263">
            <w:pPr>
              <w:spacing w:line="480" w:lineRule="atLeast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/>
                <w:bCs/>
                <w:iCs/>
                <w:kern w:val="0"/>
                <w:sz w:val="24"/>
              </w:rPr>
              <w:t>日期</w:t>
            </w:r>
          </w:p>
        </w:tc>
        <w:tc>
          <w:tcPr>
            <w:tcW w:w="6614" w:type="dxa"/>
          </w:tcPr>
          <w:p w:rsidR="00A266D0" w:rsidRPr="006A623C" w:rsidRDefault="008C254D" w:rsidP="008C254D">
            <w:pPr>
              <w:spacing w:line="480" w:lineRule="atLeast"/>
              <w:jc w:val="center"/>
              <w:rPr>
                <w:rFonts w:ascii="Calibri" w:hAnsi="Calibri"/>
                <w:bCs/>
                <w:iCs/>
                <w:kern w:val="0"/>
                <w:sz w:val="24"/>
              </w:rPr>
            </w:pPr>
            <w:r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2016</w:t>
            </w:r>
            <w:r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年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9</w:t>
            </w:r>
            <w:r w:rsidR="002F43DB"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月</w:t>
            </w:r>
            <w:r>
              <w:rPr>
                <w:rFonts w:ascii="Calibri" w:hAnsi="Calibri" w:hint="eastAsia"/>
                <w:bCs/>
                <w:iCs/>
                <w:kern w:val="0"/>
                <w:sz w:val="24"/>
              </w:rPr>
              <w:t>5</w:t>
            </w:r>
            <w:r w:rsidR="000F6263" w:rsidRPr="001C752C">
              <w:rPr>
                <w:rFonts w:ascii="Calibri" w:hAnsi="Calibri" w:hint="eastAsia"/>
                <w:bCs/>
                <w:iCs/>
                <w:kern w:val="0"/>
                <w:sz w:val="24"/>
              </w:rPr>
              <w:t>日</w:t>
            </w:r>
          </w:p>
        </w:tc>
      </w:tr>
    </w:tbl>
    <w:p w:rsidR="00A266D0" w:rsidRPr="006A623C" w:rsidRDefault="00A266D0">
      <w:pPr>
        <w:rPr>
          <w:rFonts w:ascii="Calibri" w:hAnsi="Calibri"/>
        </w:rPr>
      </w:pPr>
    </w:p>
    <w:sectPr w:rsidR="00A266D0" w:rsidRPr="006A623C" w:rsidSect="00A266D0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855" w:rsidRDefault="000B2855" w:rsidP="00A266D0">
      <w:r>
        <w:separator/>
      </w:r>
    </w:p>
  </w:endnote>
  <w:endnote w:type="continuationSeparator" w:id="0">
    <w:p w:rsidR="000B2855" w:rsidRDefault="000B2855" w:rsidP="00A2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6D0" w:rsidRDefault="001367FE">
    <w:pPr>
      <w:pStyle w:val="a5"/>
      <w:jc w:val="center"/>
    </w:pPr>
    <w:r>
      <w:fldChar w:fldCharType="begin"/>
    </w:r>
    <w:r w:rsidR="000F6263">
      <w:instrText xml:space="preserve"> PAGE   \* MERGEFORMAT </w:instrText>
    </w:r>
    <w:r>
      <w:fldChar w:fldCharType="separate"/>
    </w:r>
    <w:r w:rsidR="00380BB2" w:rsidRPr="00380BB2">
      <w:rPr>
        <w:noProof/>
        <w:lang w:val="zh-CN"/>
      </w:rPr>
      <w:t>5</w:t>
    </w:r>
    <w:r>
      <w:fldChar w:fldCharType="end"/>
    </w:r>
  </w:p>
  <w:p w:rsidR="00A266D0" w:rsidRDefault="00A266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855" w:rsidRDefault="000B2855" w:rsidP="00A266D0">
      <w:r>
        <w:separator/>
      </w:r>
    </w:p>
  </w:footnote>
  <w:footnote w:type="continuationSeparator" w:id="0">
    <w:p w:rsidR="000B2855" w:rsidRDefault="000B2855" w:rsidP="00A26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A266D0"/>
    <w:rsid w:val="00004A6D"/>
    <w:rsid w:val="000145F1"/>
    <w:rsid w:val="00023F4F"/>
    <w:rsid w:val="00032515"/>
    <w:rsid w:val="00033050"/>
    <w:rsid w:val="00033BAF"/>
    <w:rsid w:val="00041059"/>
    <w:rsid w:val="00042594"/>
    <w:rsid w:val="00046E0F"/>
    <w:rsid w:val="00077354"/>
    <w:rsid w:val="000810F7"/>
    <w:rsid w:val="00081959"/>
    <w:rsid w:val="0008605A"/>
    <w:rsid w:val="00086E7D"/>
    <w:rsid w:val="0009580D"/>
    <w:rsid w:val="00095B08"/>
    <w:rsid w:val="000B2855"/>
    <w:rsid w:val="000C21EE"/>
    <w:rsid w:val="000D05C1"/>
    <w:rsid w:val="000D0DD0"/>
    <w:rsid w:val="000D1F99"/>
    <w:rsid w:val="000F0684"/>
    <w:rsid w:val="000F06BE"/>
    <w:rsid w:val="000F0B98"/>
    <w:rsid w:val="000F3288"/>
    <w:rsid w:val="000F37BC"/>
    <w:rsid w:val="000F3BE7"/>
    <w:rsid w:val="000F431B"/>
    <w:rsid w:val="000F6263"/>
    <w:rsid w:val="000F7C49"/>
    <w:rsid w:val="00106CA3"/>
    <w:rsid w:val="00106CF2"/>
    <w:rsid w:val="001077A2"/>
    <w:rsid w:val="001114B4"/>
    <w:rsid w:val="00112CBC"/>
    <w:rsid w:val="00117065"/>
    <w:rsid w:val="00124D77"/>
    <w:rsid w:val="00127F2E"/>
    <w:rsid w:val="00130BA1"/>
    <w:rsid w:val="00133445"/>
    <w:rsid w:val="00135380"/>
    <w:rsid w:val="001359F4"/>
    <w:rsid w:val="001367FE"/>
    <w:rsid w:val="00142EB7"/>
    <w:rsid w:val="00143C00"/>
    <w:rsid w:val="001501C3"/>
    <w:rsid w:val="001538DD"/>
    <w:rsid w:val="0015696F"/>
    <w:rsid w:val="0016198B"/>
    <w:rsid w:val="00165F49"/>
    <w:rsid w:val="001677DD"/>
    <w:rsid w:val="00172256"/>
    <w:rsid w:val="00177DF2"/>
    <w:rsid w:val="001821B0"/>
    <w:rsid w:val="00182215"/>
    <w:rsid w:val="001835C1"/>
    <w:rsid w:val="00186411"/>
    <w:rsid w:val="00190773"/>
    <w:rsid w:val="001910B4"/>
    <w:rsid w:val="001A0AE5"/>
    <w:rsid w:val="001B1F87"/>
    <w:rsid w:val="001B26FA"/>
    <w:rsid w:val="001B3D76"/>
    <w:rsid w:val="001C4775"/>
    <w:rsid w:val="001C48AF"/>
    <w:rsid w:val="001C752C"/>
    <w:rsid w:val="001D13E7"/>
    <w:rsid w:val="001D574C"/>
    <w:rsid w:val="001E08C3"/>
    <w:rsid w:val="001E1029"/>
    <w:rsid w:val="001E15E5"/>
    <w:rsid w:val="001E1DA3"/>
    <w:rsid w:val="001E2A7D"/>
    <w:rsid w:val="001E6AD6"/>
    <w:rsid w:val="001F2D13"/>
    <w:rsid w:val="001F51E9"/>
    <w:rsid w:val="00200987"/>
    <w:rsid w:val="0020198D"/>
    <w:rsid w:val="00213D2B"/>
    <w:rsid w:val="00217235"/>
    <w:rsid w:val="002174EB"/>
    <w:rsid w:val="00221912"/>
    <w:rsid w:val="00224161"/>
    <w:rsid w:val="002248AD"/>
    <w:rsid w:val="002254F1"/>
    <w:rsid w:val="0023315C"/>
    <w:rsid w:val="00240314"/>
    <w:rsid w:val="00246E6B"/>
    <w:rsid w:val="00256BA5"/>
    <w:rsid w:val="00276F14"/>
    <w:rsid w:val="00282E92"/>
    <w:rsid w:val="002842A4"/>
    <w:rsid w:val="002911D4"/>
    <w:rsid w:val="002A2B08"/>
    <w:rsid w:val="002A40EC"/>
    <w:rsid w:val="002A58EF"/>
    <w:rsid w:val="002A7AC8"/>
    <w:rsid w:val="002B2580"/>
    <w:rsid w:val="002C139E"/>
    <w:rsid w:val="002C2294"/>
    <w:rsid w:val="002C5015"/>
    <w:rsid w:val="002C6750"/>
    <w:rsid w:val="002C6809"/>
    <w:rsid w:val="002D2832"/>
    <w:rsid w:val="002D2ED4"/>
    <w:rsid w:val="002D5DBF"/>
    <w:rsid w:val="002D6873"/>
    <w:rsid w:val="002E0B30"/>
    <w:rsid w:val="002E528A"/>
    <w:rsid w:val="002F23A9"/>
    <w:rsid w:val="002F3725"/>
    <w:rsid w:val="002F37ED"/>
    <w:rsid w:val="002F43DB"/>
    <w:rsid w:val="00306D08"/>
    <w:rsid w:val="00315F56"/>
    <w:rsid w:val="00324F7C"/>
    <w:rsid w:val="00325A19"/>
    <w:rsid w:val="003370DE"/>
    <w:rsid w:val="00337CF1"/>
    <w:rsid w:val="00341CF9"/>
    <w:rsid w:val="00343F21"/>
    <w:rsid w:val="00346709"/>
    <w:rsid w:val="00354A7C"/>
    <w:rsid w:val="00357911"/>
    <w:rsid w:val="003602E1"/>
    <w:rsid w:val="00364113"/>
    <w:rsid w:val="00367829"/>
    <w:rsid w:val="003704D5"/>
    <w:rsid w:val="00380BB2"/>
    <w:rsid w:val="0039006E"/>
    <w:rsid w:val="0039059A"/>
    <w:rsid w:val="00392EDA"/>
    <w:rsid w:val="003933F5"/>
    <w:rsid w:val="0039721D"/>
    <w:rsid w:val="003A3727"/>
    <w:rsid w:val="003A4247"/>
    <w:rsid w:val="003B65B4"/>
    <w:rsid w:val="003B7C63"/>
    <w:rsid w:val="003C2B13"/>
    <w:rsid w:val="003D1BC7"/>
    <w:rsid w:val="003D33FB"/>
    <w:rsid w:val="003E09EF"/>
    <w:rsid w:val="003F265C"/>
    <w:rsid w:val="003F4373"/>
    <w:rsid w:val="003F7598"/>
    <w:rsid w:val="00401EBB"/>
    <w:rsid w:val="00405705"/>
    <w:rsid w:val="00410DED"/>
    <w:rsid w:val="004144F0"/>
    <w:rsid w:val="004151D4"/>
    <w:rsid w:val="00423D84"/>
    <w:rsid w:val="004302EB"/>
    <w:rsid w:val="00430EA4"/>
    <w:rsid w:val="00430FFE"/>
    <w:rsid w:val="004350C0"/>
    <w:rsid w:val="00435921"/>
    <w:rsid w:val="00437D9B"/>
    <w:rsid w:val="00437EBB"/>
    <w:rsid w:val="0044191F"/>
    <w:rsid w:val="0044201A"/>
    <w:rsid w:val="00446326"/>
    <w:rsid w:val="00447EB6"/>
    <w:rsid w:val="0045038D"/>
    <w:rsid w:val="00450F31"/>
    <w:rsid w:val="00451869"/>
    <w:rsid w:val="00452195"/>
    <w:rsid w:val="00461A28"/>
    <w:rsid w:val="0047411A"/>
    <w:rsid w:val="004845CB"/>
    <w:rsid w:val="00490630"/>
    <w:rsid w:val="00495FC3"/>
    <w:rsid w:val="004A187C"/>
    <w:rsid w:val="004B002B"/>
    <w:rsid w:val="004B2707"/>
    <w:rsid w:val="004B488D"/>
    <w:rsid w:val="004C6FFE"/>
    <w:rsid w:val="004D19EA"/>
    <w:rsid w:val="004D2EBB"/>
    <w:rsid w:val="004E2245"/>
    <w:rsid w:val="004E4038"/>
    <w:rsid w:val="004F5C56"/>
    <w:rsid w:val="0050157A"/>
    <w:rsid w:val="00504A5C"/>
    <w:rsid w:val="00504C09"/>
    <w:rsid w:val="00517C6A"/>
    <w:rsid w:val="0052301A"/>
    <w:rsid w:val="00525EB5"/>
    <w:rsid w:val="00526142"/>
    <w:rsid w:val="00526884"/>
    <w:rsid w:val="005446D7"/>
    <w:rsid w:val="0054654E"/>
    <w:rsid w:val="0055122D"/>
    <w:rsid w:val="005561CB"/>
    <w:rsid w:val="0055686E"/>
    <w:rsid w:val="00576039"/>
    <w:rsid w:val="00594C36"/>
    <w:rsid w:val="005B2D36"/>
    <w:rsid w:val="005B4679"/>
    <w:rsid w:val="005C09A7"/>
    <w:rsid w:val="005C0C00"/>
    <w:rsid w:val="005C1B39"/>
    <w:rsid w:val="005C71A5"/>
    <w:rsid w:val="005D0BD5"/>
    <w:rsid w:val="005D1D84"/>
    <w:rsid w:val="005D78F2"/>
    <w:rsid w:val="005E0321"/>
    <w:rsid w:val="005E31E3"/>
    <w:rsid w:val="005E69CD"/>
    <w:rsid w:val="005F0A32"/>
    <w:rsid w:val="005F1875"/>
    <w:rsid w:val="005F1966"/>
    <w:rsid w:val="005F462C"/>
    <w:rsid w:val="005F49B8"/>
    <w:rsid w:val="005F4C5E"/>
    <w:rsid w:val="00602231"/>
    <w:rsid w:val="00602EB4"/>
    <w:rsid w:val="00603809"/>
    <w:rsid w:val="0060468F"/>
    <w:rsid w:val="0060720A"/>
    <w:rsid w:val="00626C40"/>
    <w:rsid w:val="00630B1B"/>
    <w:rsid w:val="006329BC"/>
    <w:rsid w:val="00633D18"/>
    <w:rsid w:val="00635632"/>
    <w:rsid w:val="00641F4C"/>
    <w:rsid w:val="006424C0"/>
    <w:rsid w:val="006429F9"/>
    <w:rsid w:val="00645CCF"/>
    <w:rsid w:val="00650FD9"/>
    <w:rsid w:val="00653CE5"/>
    <w:rsid w:val="006545E9"/>
    <w:rsid w:val="0065660B"/>
    <w:rsid w:val="00657872"/>
    <w:rsid w:val="00663A6F"/>
    <w:rsid w:val="00670676"/>
    <w:rsid w:val="00674B7C"/>
    <w:rsid w:val="00675EA8"/>
    <w:rsid w:val="00677ABD"/>
    <w:rsid w:val="00684EFA"/>
    <w:rsid w:val="00691B8F"/>
    <w:rsid w:val="00694E45"/>
    <w:rsid w:val="00694F90"/>
    <w:rsid w:val="006A0AFC"/>
    <w:rsid w:val="006A268D"/>
    <w:rsid w:val="006A455D"/>
    <w:rsid w:val="006A623C"/>
    <w:rsid w:val="006A7E76"/>
    <w:rsid w:val="006B227F"/>
    <w:rsid w:val="006B2788"/>
    <w:rsid w:val="006B55EF"/>
    <w:rsid w:val="006C020D"/>
    <w:rsid w:val="006C18CC"/>
    <w:rsid w:val="006C2072"/>
    <w:rsid w:val="006C29A2"/>
    <w:rsid w:val="006C5D8E"/>
    <w:rsid w:val="006C7C98"/>
    <w:rsid w:val="006E2F4C"/>
    <w:rsid w:val="006E7365"/>
    <w:rsid w:val="007011D5"/>
    <w:rsid w:val="007042C5"/>
    <w:rsid w:val="00704E8B"/>
    <w:rsid w:val="00706FB7"/>
    <w:rsid w:val="00711E73"/>
    <w:rsid w:val="007167E8"/>
    <w:rsid w:val="007168D9"/>
    <w:rsid w:val="00723A36"/>
    <w:rsid w:val="0072601D"/>
    <w:rsid w:val="00726971"/>
    <w:rsid w:val="00741E35"/>
    <w:rsid w:val="007502CE"/>
    <w:rsid w:val="0076132A"/>
    <w:rsid w:val="00764F2E"/>
    <w:rsid w:val="007739DA"/>
    <w:rsid w:val="00784956"/>
    <w:rsid w:val="0078599B"/>
    <w:rsid w:val="007874E2"/>
    <w:rsid w:val="00795A9B"/>
    <w:rsid w:val="00797392"/>
    <w:rsid w:val="007A7BC7"/>
    <w:rsid w:val="007B1C9B"/>
    <w:rsid w:val="007B245F"/>
    <w:rsid w:val="007B72F9"/>
    <w:rsid w:val="007B7AD2"/>
    <w:rsid w:val="007C17A5"/>
    <w:rsid w:val="007D37BF"/>
    <w:rsid w:val="007D6C7D"/>
    <w:rsid w:val="007E05A4"/>
    <w:rsid w:val="007E1B10"/>
    <w:rsid w:val="007F5286"/>
    <w:rsid w:val="007F5761"/>
    <w:rsid w:val="007F69B4"/>
    <w:rsid w:val="00801EF6"/>
    <w:rsid w:val="00806A36"/>
    <w:rsid w:val="008117F4"/>
    <w:rsid w:val="00817D10"/>
    <w:rsid w:val="008213C8"/>
    <w:rsid w:val="008256A3"/>
    <w:rsid w:val="00826FB1"/>
    <w:rsid w:val="00827BC3"/>
    <w:rsid w:val="00833A4C"/>
    <w:rsid w:val="00833DFE"/>
    <w:rsid w:val="00835B20"/>
    <w:rsid w:val="00850601"/>
    <w:rsid w:val="00862AB9"/>
    <w:rsid w:val="00862C8E"/>
    <w:rsid w:val="0087473D"/>
    <w:rsid w:val="00881667"/>
    <w:rsid w:val="00882A79"/>
    <w:rsid w:val="00882FBF"/>
    <w:rsid w:val="008837A8"/>
    <w:rsid w:val="00886542"/>
    <w:rsid w:val="00887447"/>
    <w:rsid w:val="008918FA"/>
    <w:rsid w:val="00895523"/>
    <w:rsid w:val="008A1D51"/>
    <w:rsid w:val="008A2F29"/>
    <w:rsid w:val="008A41BE"/>
    <w:rsid w:val="008A4955"/>
    <w:rsid w:val="008A5FE2"/>
    <w:rsid w:val="008A79ED"/>
    <w:rsid w:val="008B0E44"/>
    <w:rsid w:val="008B22B7"/>
    <w:rsid w:val="008B4413"/>
    <w:rsid w:val="008B5388"/>
    <w:rsid w:val="008C08FB"/>
    <w:rsid w:val="008C254D"/>
    <w:rsid w:val="008C7674"/>
    <w:rsid w:val="008D6808"/>
    <w:rsid w:val="008D6B01"/>
    <w:rsid w:val="008E0A89"/>
    <w:rsid w:val="008F2851"/>
    <w:rsid w:val="008F7E28"/>
    <w:rsid w:val="00900B8E"/>
    <w:rsid w:val="00901A39"/>
    <w:rsid w:val="009075A9"/>
    <w:rsid w:val="00920253"/>
    <w:rsid w:val="00923B43"/>
    <w:rsid w:val="00924E18"/>
    <w:rsid w:val="0092785B"/>
    <w:rsid w:val="00944D56"/>
    <w:rsid w:val="00946B2A"/>
    <w:rsid w:val="009749D5"/>
    <w:rsid w:val="00974CCA"/>
    <w:rsid w:val="00980F20"/>
    <w:rsid w:val="00981191"/>
    <w:rsid w:val="00986613"/>
    <w:rsid w:val="009868B4"/>
    <w:rsid w:val="00987088"/>
    <w:rsid w:val="00987368"/>
    <w:rsid w:val="0099345D"/>
    <w:rsid w:val="009972A0"/>
    <w:rsid w:val="009B0133"/>
    <w:rsid w:val="009B167F"/>
    <w:rsid w:val="009C289C"/>
    <w:rsid w:val="009C36EC"/>
    <w:rsid w:val="009C5BE2"/>
    <w:rsid w:val="009C6D9F"/>
    <w:rsid w:val="009C75B3"/>
    <w:rsid w:val="009D06B0"/>
    <w:rsid w:val="009D0C0B"/>
    <w:rsid w:val="009D1D0C"/>
    <w:rsid w:val="009D2BB9"/>
    <w:rsid w:val="009E0621"/>
    <w:rsid w:val="009E2FCE"/>
    <w:rsid w:val="009F7778"/>
    <w:rsid w:val="00A1559B"/>
    <w:rsid w:val="00A173AC"/>
    <w:rsid w:val="00A2077C"/>
    <w:rsid w:val="00A2564D"/>
    <w:rsid w:val="00A266D0"/>
    <w:rsid w:val="00A271EC"/>
    <w:rsid w:val="00A34BDD"/>
    <w:rsid w:val="00A3607C"/>
    <w:rsid w:val="00A36BAD"/>
    <w:rsid w:val="00A3700F"/>
    <w:rsid w:val="00A56904"/>
    <w:rsid w:val="00A60D0C"/>
    <w:rsid w:val="00A70DD6"/>
    <w:rsid w:val="00A739DA"/>
    <w:rsid w:val="00A767AD"/>
    <w:rsid w:val="00A9468B"/>
    <w:rsid w:val="00A96D2D"/>
    <w:rsid w:val="00AA1A0B"/>
    <w:rsid w:val="00AA2DE8"/>
    <w:rsid w:val="00AA2F0E"/>
    <w:rsid w:val="00AA2F11"/>
    <w:rsid w:val="00AA491D"/>
    <w:rsid w:val="00AB1CB4"/>
    <w:rsid w:val="00AB67E0"/>
    <w:rsid w:val="00AB7B7D"/>
    <w:rsid w:val="00AC15F7"/>
    <w:rsid w:val="00AC3AE3"/>
    <w:rsid w:val="00AD03F0"/>
    <w:rsid w:val="00AD2DB4"/>
    <w:rsid w:val="00AD6002"/>
    <w:rsid w:val="00AE0063"/>
    <w:rsid w:val="00AE0EFE"/>
    <w:rsid w:val="00AE2BBD"/>
    <w:rsid w:val="00AF1ABC"/>
    <w:rsid w:val="00AF3ED3"/>
    <w:rsid w:val="00AF42F4"/>
    <w:rsid w:val="00B03912"/>
    <w:rsid w:val="00B05E44"/>
    <w:rsid w:val="00B076EF"/>
    <w:rsid w:val="00B130D0"/>
    <w:rsid w:val="00B138A6"/>
    <w:rsid w:val="00B13EB5"/>
    <w:rsid w:val="00B15B81"/>
    <w:rsid w:val="00B20CAB"/>
    <w:rsid w:val="00B21C87"/>
    <w:rsid w:val="00B24C26"/>
    <w:rsid w:val="00B31BF1"/>
    <w:rsid w:val="00B342F5"/>
    <w:rsid w:val="00B34814"/>
    <w:rsid w:val="00B3486C"/>
    <w:rsid w:val="00B35D80"/>
    <w:rsid w:val="00B416FD"/>
    <w:rsid w:val="00B42629"/>
    <w:rsid w:val="00B46BE2"/>
    <w:rsid w:val="00B54B50"/>
    <w:rsid w:val="00B57C47"/>
    <w:rsid w:val="00B62486"/>
    <w:rsid w:val="00B64120"/>
    <w:rsid w:val="00B66E86"/>
    <w:rsid w:val="00B77426"/>
    <w:rsid w:val="00B83F1A"/>
    <w:rsid w:val="00B84054"/>
    <w:rsid w:val="00B87FA3"/>
    <w:rsid w:val="00B92C96"/>
    <w:rsid w:val="00B9746E"/>
    <w:rsid w:val="00BA0487"/>
    <w:rsid w:val="00BA1AFB"/>
    <w:rsid w:val="00BB3315"/>
    <w:rsid w:val="00BB660E"/>
    <w:rsid w:val="00BB71C8"/>
    <w:rsid w:val="00BC0882"/>
    <w:rsid w:val="00BC6C31"/>
    <w:rsid w:val="00BD4D47"/>
    <w:rsid w:val="00BD5CF5"/>
    <w:rsid w:val="00BD75F8"/>
    <w:rsid w:val="00BE2533"/>
    <w:rsid w:val="00BF275C"/>
    <w:rsid w:val="00BF715E"/>
    <w:rsid w:val="00C00799"/>
    <w:rsid w:val="00C0681B"/>
    <w:rsid w:val="00C14283"/>
    <w:rsid w:val="00C17A43"/>
    <w:rsid w:val="00C26197"/>
    <w:rsid w:val="00C30589"/>
    <w:rsid w:val="00C35756"/>
    <w:rsid w:val="00C3757F"/>
    <w:rsid w:val="00C41B60"/>
    <w:rsid w:val="00C4648D"/>
    <w:rsid w:val="00C47296"/>
    <w:rsid w:val="00C50E1D"/>
    <w:rsid w:val="00C60D0E"/>
    <w:rsid w:val="00C62459"/>
    <w:rsid w:val="00C642FC"/>
    <w:rsid w:val="00C65502"/>
    <w:rsid w:val="00C66EF6"/>
    <w:rsid w:val="00C677A3"/>
    <w:rsid w:val="00C70629"/>
    <w:rsid w:val="00C706C0"/>
    <w:rsid w:val="00C733ED"/>
    <w:rsid w:val="00C74E1B"/>
    <w:rsid w:val="00C74EF0"/>
    <w:rsid w:val="00C76B8E"/>
    <w:rsid w:val="00C806C6"/>
    <w:rsid w:val="00C86348"/>
    <w:rsid w:val="00CA05F8"/>
    <w:rsid w:val="00CA0F6D"/>
    <w:rsid w:val="00CA1C01"/>
    <w:rsid w:val="00CA3D22"/>
    <w:rsid w:val="00CA47B4"/>
    <w:rsid w:val="00CB0178"/>
    <w:rsid w:val="00CB12A9"/>
    <w:rsid w:val="00CB2879"/>
    <w:rsid w:val="00CB37AD"/>
    <w:rsid w:val="00CC331C"/>
    <w:rsid w:val="00CC4C46"/>
    <w:rsid w:val="00CD5D01"/>
    <w:rsid w:val="00CE0C45"/>
    <w:rsid w:val="00CE2140"/>
    <w:rsid w:val="00CE5221"/>
    <w:rsid w:val="00CF00FE"/>
    <w:rsid w:val="00CF4095"/>
    <w:rsid w:val="00CF5CA1"/>
    <w:rsid w:val="00D01375"/>
    <w:rsid w:val="00D05B4B"/>
    <w:rsid w:val="00D076A2"/>
    <w:rsid w:val="00D163C1"/>
    <w:rsid w:val="00D23676"/>
    <w:rsid w:val="00D24DF6"/>
    <w:rsid w:val="00D25CF8"/>
    <w:rsid w:val="00D263DE"/>
    <w:rsid w:val="00D36AE5"/>
    <w:rsid w:val="00D41DA8"/>
    <w:rsid w:val="00D42AB8"/>
    <w:rsid w:val="00D45CB1"/>
    <w:rsid w:val="00D47155"/>
    <w:rsid w:val="00D50A54"/>
    <w:rsid w:val="00D75EEA"/>
    <w:rsid w:val="00D76E3B"/>
    <w:rsid w:val="00DA03DD"/>
    <w:rsid w:val="00DA38FF"/>
    <w:rsid w:val="00DA6E49"/>
    <w:rsid w:val="00DB0E13"/>
    <w:rsid w:val="00DB59AE"/>
    <w:rsid w:val="00DC1B36"/>
    <w:rsid w:val="00DC1C96"/>
    <w:rsid w:val="00DC2EB0"/>
    <w:rsid w:val="00DC6C3B"/>
    <w:rsid w:val="00DD42DB"/>
    <w:rsid w:val="00DD6DBA"/>
    <w:rsid w:val="00DE1BC6"/>
    <w:rsid w:val="00DE2062"/>
    <w:rsid w:val="00DE654F"/>
    <w:rsid w:val="00DE767E"/>
    <w:rsid w:val="00DF17BD"/>
    <w:rsid w:val="00DF261C"/>
    <w:rsid w:val="00DF77AD"/>
    <w:rsid w:val="00E01D9C"/>
    <w:rsid w:val="00E0413F"/>
    <w:rsid w:val="00E04991"/>
    <w:rsid w:val="00E053EC"/>
    <w:rsid w:val="00E0598C"/>
    <w:rsid w:val="00E07A89"/>
    <w:rsid w:val="00E10D7C"/>
    <w:rsid w:val="00E1316A"/>
    <w:rsid w:val="00E145B0"/>
    <w:rsid w:val="00E238FD"/>
    <w:rsid w:val="00E249CE"/>
    <w:rsid w:val="00E27F9F"/>
    <w:rsid w:val="00E44402"/>
    <w:rsid w:val="00E45204"/>
    <w:rsid w:val="00E462C3"/>
    <w:rsid w:val="00E504E7"/>
    <w:rsid w:val="00E54FEB"/>
    <w:rsid w:val="00E55142"/>
    <w:rsid w:val="00E55860"/>
    <w:rsid w:val="00E64940"/>
    <w:rsid w:val="00E6698E"/>
    <w:rsid w:val="00E947E9"/>
    <w:rsid w:val="00E969D4"/>
    <w:rsid w:val="00EB7D0A"/>
    <w:rsid w:val="00ED33B1"/>
    <w:rsid w:val="00ED4409"/>
    <w:rsid w:val="00ED6158"/>
    <w:rsid w:val="00EE02D6"/>
    <w:rsid w:val="00EE7500"/>
    <w:rsid w:val="00EF3FCF"/>
    <w:rsid w:val="00EF7EC7"/>
    <w:rsid w:val="00F00A88"/>
    <w:rsid w:val="00F07D49"/>
    <w:rsid w:val="00F10084"/>
    <w:rsid w:val="00F16026"/>
    <w:rsid w:val="00F26B4D"/>
    <w:rsid w:val="00F27354"/>
    <w:rsid w:val="00F34DFD"/>
    <w:rsid w:val="00F36116"/>
    <w:rsid w:val="00F362E6"/>
    <w:rsid w:val="00F37923"/>
    <w:rsid w:val="00F402EF"/>
    <w:rsid w:val="00F41750"/>
    <w:rsid w:val="00F41D58"/>
    <w:rsid w:val="00F423F2"/>
    <w:rsid w:val="00F447BA"/>
    <w:rsid w:val="00F45483"/>
    <w:rsid w:val="00F4619D"/>
    <w:rsid w:val="00F46D8A"/>
    <w:rsid w:val="00F6002C"/>
    <w:rsid w:val="00F604CD"/>
    <w:rsid w:val="00F61D5A"/>
    <w:rsid w:val="00F6715E"/>
    <w:rsid w:val="00F70BB3"/>
    <w:rsid w:val="00F71426"/>
    <w:rsid w:val="00F72E9D"/>
    <w:rsid w:val="00F7433B"/>
    <w:rsid w:val="00F835EE"/>
    <w:rsid w:val="00F93E1D"/>
    <w:rsid w:val="00F9480B"/>
    <w:rsid w:val="00F9651D"/>
    <w:rsid w:val="00F96546"/>
    <w:rsid w:val="00FA18F2"/>
    <w:rsid w:val="00FA2D4C"/>
    <w:rsid w:val="00FA7831"/>
    <w:rsid w:val="00FB0F9E"/>
    <w:rsid w:val="00FB34D4"/>
    <w:rsid w:val="00FB68D6"/>
    <w:rsid w:val="00FC0C65"/>
    <w:rsid w:val="00FC5446"/>
    <w:rsid w:val="00FD313B"/>
    <w:rsid w:val="00FD6F42"/>
    <w:rsid w:val="00FE47BB"/>
    <w:rsid w:val="00FE6EB9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6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266D0"/>
    <w:pPr>
      <w:spacing w:after="120"/>
      <w:ind w:leftChars="200" w:left="200"/>
    </w:pPr>
    <w:rPr>
      <w:szCs w:val="20"/>
    </w:rPr>
  </w:style>
  <w:style w:type="paragraph" w:styleId="a4">
    <w:name w:val="header"/>
    <w:basedOn w:val="a"/>
    <w:link w:val="Char"/>
    <w:uiPriority w:val="99"/>
    <w:rsid w:val="00A26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26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rsid w:val="00A266D0"/>
    <w:pPr>
      <w:ind w:firstLineChars="200" w:firstLine="200"/>
    </w:pPr>
    <w:rPr>
      <w:rFonts w:ascii="Calibri" w:hAnsi="Calibri"/>
      <w:szCs w:val="22"/>
    </w:rPr>
  </w:style>
  <w:style w:type="paragraph" w:styleId="a6">
    <w:name w:val="Balloon Text"/>
    <w:basedOn w:val="a"/>
    <w:rsid w:val="00A266D0"/>
    <w:rPr>
      <w:sz w:val="18"/>
      <w:szCs w:val="18"/>
    </w:rPr>
  </w:style>
  <w:style w:type="character" w:styleId="a7">
    <w:name w:val="Strong"/>
    <w:basedOn w:val="a0"/>
    <w:rsid w:val="00A266D0"/>
    <w:rPr>
      <w:b/>
      <w:bCs/>
    </w:rPr>
  </w:style>
  <w:style w:type="paragraph" w:styleId="a8">
    <w:name w:val="Normal (Web)"/>
    <w:basedOn w:val="a"/>
    <w:rsid w:val="00A266D0"/>
    <w:pPr>
      <w:widowControl/>
      <w:spacing w:before="100" w:beforeAutospacing="1" w:after="100" w:afterAutospacing="1" w:line="300" w:lineRule="atLeast"/>
      <w:jc w:val="left"/>
    </w:pPr>
    <w:rPr>
      <w:rFonts w:ascii="宋体" w:cs="宋体"/>
      <w:kern w:val="0"/>
      <w:sz w:val="24"/>
    </w:rPr>
  </w:style>
  <w:style w:type="character" w:styleId="a9">
    <w:name w:val="annotation reference"/>
    <w:basedOn w:val="a0"/>
    <w:rsid w:val="00A266D0"/>
    <w:rPr>
      <w:sz w:val="21"/>
      <w:szCs w:val="21"/>
    </w:rPr>
  </w:style>
  <w:style w:type="paragraph" w:styleId="aa">
    <w:name w:val="annotation text"/>
    <w:basedOn w:val="a"/>
    <w:rsid w:val="00A266D0"/>
    <w:pPr>
      <w:jc w:val="left"/>
    </w:pPr>
  </w:style>
  <w:style w:type="paragraph" w:styleId="ab">
    <w:name w:val="annotation subject"/>
    <w:basedOn w:val="aa"/>
    <w:next w:val="aa"/>
    <w:rsid w:val="00A266D0"/>
    <w:rPr>
      <w:b/>
      <w:bCs/>
    </w:rPr>
  </w:style>
  <w:style w:type="paragraph" w:styleId="ac">
    <w:name w:val="List Paragraph"/>
    <w:qFormat/>
    <w:rsid w:val="00A266D0"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character" w:customStyle="1" w:styleId="Char">
    <w:name w:val="页眉 Char"/>
    <w:basedOn w:val="a0"/>
    <w:link w:val="a4"/>
    <w:uiPriority w:val="99"/>
    <w:rsid w:val="00650F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5</Pages>
  <Words>491</Words>
  <Characters>2801</Characters>
  <Application>Microsoft Office Word</Application>
  <DocSecurity>0</DocSecurity>
  <Lines>23</Lines>
  <Paragraphs>6</Paragraphs>
  <ScaleCrop>false</ScaleCrop>
  <Company>番茄花园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liyh</dc:creator>
  <cp:lastModifiedBy>微软用户</cp:lastModifiedBy>
  <cp:revision>1139</cp:revision>
  <cp:lastPrinted>2015-09-13T07:45:00Z</cp:lastPrinted>
  <dcterms:created xsi:type="dcterms:W3CDTF">2016-06-07T02:53:00Z</dcterms:created>
  <dcterms:modified xsi:type="dcterms:W3CDTF">2016-09-06T08:33:00Z</dcterms:modified>
</cp:coreProperties>
</file>