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E08" w:rsidRPr="00020AE2" w:rsidRDefault="00CA6E08" w:rsidP="000219D2">
      <w:pPr>
        <w:spacing w:beforeLines="50" w:afterLines="50"/>
        <w:rPr>
          <w:rFonts w:ascii="Arial" w:eastAsiaTheme="majorEastAsia" w:hAnsi="Arial" w:cs="Arial"/>
          <w:bCs/>
          <w:iCs/>
          <w:szCs w:val="21"/>
        </w:rPr>
      </w:pPr>
      <w:r w:rsidRPr="00020AE2">
        <w:rPr>
          <w:rFonts w:ascii="Arial" w:eastAsiaTheme="majorEastAsia" w:hAnsi="Arial" w:cs="Arial"/>
          <w:bCs/>
          <w:iCs/>
          <w:szCs w:val="21"/>
        </w:rPr>
        <w:t>证券代码：</w:t>
      </w:r>
      <w:r w:rsidR="004315C8" w:rsidRPr="00020AE2">
        <w:rPr>
          <w:rFonts w:ascii="Arial" w:eastAsiaTheme="minorEastAsia" w:hAnsi="Arial" w:cs="Arial"/>
          <w:bCs/>
          <w:iCs/>
          <w:szCs w:val="21"/>
        </w:rPr>
        <w:t>300134</w:t>
      </w:r>
      <w:r w:rsidR="00BF332A">
        <w:rPr>
          <w:rFonts w:ascii="Arial" w:eastAsiaTheme="minorEastAsia" w:hAnsi="Arial" w:cs="Arial" w:hint="eastAsia"/>
          <w:bCs/>
          <w:iCs/>
          <w:szCs w:val="21"/>
        </w:rPr>
        <w:t xml:space="preserve">                                             </w:t>
      </w:r>
      <w:r w:rsidRPr="00020AE2">
        <w:rPr>
          <w:rFonts w:ascii="Arial" w:eastAsiaTheme="majorEastAsia" w:hAnsi="Arial" w:cs="Arial"/>
          <w:bCs/>
          <w:iCs/>
          <w:szCs w:val="21"/>
        </w:rPr>
        <w:t>证券简称：</w:t>
      </w:r>
      <w:r w:rsidR="004315C8" w:rsidRPr="00020AE2">
        <w:rPr>
          <w:rFonts w:ascii="Arial" w:eastAsiaTheme="majorEastAsia" w:hAnsi="Arial" w:cs="Arial"/>
          <w:bCs/>
          <w:iCs/>
          <w:szCs w:val="21"/>
        </w:rPr>
        <w:t>大富科技</w:t>
      </w:r>
    </w:p>
    <w:p w:rsidR="00DC6F4D" w:rsidRPr="00394A10" w:rsidRDefault="00CA6E08" w:rsidP="00394A10">
      <w:pPr>
        <w:jc w:val="center"/>
        <w:rPr>
          <w:b/>
          <w:sz w:val="28"/>
        </w:rPr>
      </w:pPr>
      <w:r w:rsidRPr="00394A10">
        <w:rPr>
          <w:b/>
          <w:sz w:val="28"/>
        </w:rPr>
        <w:t>深圳市大富科技股份有限公司</w:t>
      </w:r>
    </w:p>
    <w:p w:rsidR="00CA6E08" w:rsidRPr="00394A10" w:rsidRDefault="00CA6E08" w:rsidP="00394A10">
      <w:pPr>
        <w:jc w:val="center"/>
        <w:rPr>
          <w:b/>
          <w:sz w:val="28"/>
        </w:rPr>
      </w:pPr>
      <w:r w:rsidRPr="00394A10">
        <w:rPr>
          <w:b/>
          <w:sz w:val="28"/>
        </w:rPr>
        <w:t>投资者关系活动记录表</w:t>
      </w:r>
    </w:p>
    <w:p w:rsidR="00CA6E08" w:rsidRPr="00020AE2" w:rsidRDefault="00BF332A" w:rsidP="00F64E52">
      <w:pPr>
        <w:rPr>
          <w:rFonts w:ascii="Arial" w:hAnsi="Arial" w:cs="Arial"/>
          <w:bCs/>
          <w:iCs/>
          <w:szCs w:val="21"/>
        </w:rPr>
      </w:pPr>
      <w:r>
        <w:rPr>
          <w:rFonts w:ascii="Arial" w:hAnsi="Arial" w:cs="Arial" w:hint="eastAsia"/>
          <w:bCs/>
          <w:iCs/>
          <w:szCs w:val="21"/>
        </w:rPr>
        <w:t xml:space="preserve">                                                                 </w:t>
      </w:r>
      <w:r w:rsidR="00CA6E08" w:rsidRPr="00020AE2">
        <w:rPr>
          <w:rFonts w:ascii="Arial" w:hAnsi="Arial" w:cs="Arial"/>
          <w:bCs/>
          <w:iCs/>
          <w:szCs w:val="21"/>
        </w:rPr>
        <w:t>编号：</w:t>
      </w:r>
      <w:r w:rsidR="006419CC" w:rsidRPr="0054188D">
        <w:rPr>
          <w:rFonts w:ascii="Arial" w:hAnsi="Arial" w:cs="Arial"/>
          <w:bCs/>
          <w:iCs/>
          <w:szCs w:val="21"/>
        </w:rPr>
        <w:t>201</w:t>
      </w:r>
      <w:r w:rsidR="00BC741F">
        <w:rPr>
          <w:rFonts w:ascii="Arial" w:hAnsi="Arial" w:cs="Arial" w:hint="eastAsia"/>
          <w:bCs/>
          <w:iCs/>
          <w:szCs w:val="21"/>
        </w:rPr>
        <w:t>6</w:t>
      </w:r>
      <w:r w:rsidR="009C7625" w:rsidRPr="0054188D">
        <w:rPr>
          <w:rFonts w:ascii="Arial" w:hAnsi="Arial" w:cs="Arial"/>
          <w:bCs/>
          <w:iCs/>
          <w:szCs w:val="21"/>
        </w:rPr>
        <w:t>-</w:t>
      </w:r>
      <w:r>
        <w:rPr>
          <w:rFonts w:ascii="Arial" w:hAnsi="Arial" w:cs="Arial" w:hint="eastAsia"/>
          <w:bCs/>
          <w:iCs/>
          <w:szCs w:val="21"/>
        </w:rPr>
        <w:t>013</w:t>
      </w: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8768"/>
      </w:tblGrid>
      <w:tr w:rsidR="00CA6E08" w:rsidRPr="00020AE2" w:rsidTr="00A0139C">
        <w:trPr>
          <w:trHeight w:val="1628"/>
          <w:jc w:val="center"/>
        </w:trPr>
        <w:tc>
          <w:tcPr>
            <w:tcW w:w="1134"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394A10">
            <w:pPr>
              <w:rPr>
                <w:rFonts w:ascii="Arial" w:eastAsiaTheme="minorEastAsia" w:hAnsi="Arial" w:cs="Arial"/>
                <w:bCs/>
                <w:iCs/>
                <w:szCs w:val="21"/>
              </w:rPr>
            </w:pPr>
            <w:r w:rsidRPr="00020AE2">
              <w:rPr>
                <w:rFonts w:ascii="Arial" w:eastAsiaTheme="minorEastAsia" w:hAnsiTheme="minorEastAsia" w:cs="Arial"/>
                <w:bCs/>
                <w:iCs/>
                <w:szCs w:val="21"/>
              </w:rPr>
              <w:t>投资者关系活动类别</w:t>
            </w:r>
          </w:p>
        </w:tc>
        <w:tc>
          <w:tcPr>
            <w:tcW w:w="8768" w:type="dxa"/>
            <w:tcBorders>
              <w:top w:val="single" w:sz="4" w:space="0" w:color="auto"/>
              <w:left w:val="single" w:sz="4" w:space="0" w:color="auto"/>
              <w:bottom w:val="single" w:sz="4" w:space="0" w:color="auto"/>
              <w:right w:val="single" w:sz="4" w:space="0" w:color="auto"/>
            </w:tcBorders>
            <w:vAlign w:val="center"/>
          </w:tcPr>
          <w:p w:rsidR="00336080" w:rsidRPr="00375DAB" w:rsidRDefault="00336080" w:rsidP="00336080">
            <w:pPr>
              <w:rPr>
                <w:rFonts w:ascii="Arial" w:hAnsi="Arial" w:cs="Arial"/>
                <w:szCs w:val="21"/>
              </w:rPr>
            </w:pPr>
            <w:r w:rsidRPr="00375DAB">
              <w:rPr>
                <w:rFonts w:ascii="Arial" w:hAnsi="Arial" w:cs="Arial"/>
                <w:szCs w:val="21"/>
              </w:rPr>
              <w:t>□</w:t>
            </w:r>
            <w:r w:rsidRPr="00375DAB">
              <w:rPr>
                <w:rFonts w:ascii="Arial" w:cs="Arial"/>
                <w:szCs w:val="21"/>
              </w:rPr>
              <w:t>特定对象调研</w:t>
            </w:r>
            <w:r w:rsidRPr="00375DAB">
              <w:rPr>
                <w:rFonts w:ascii="Arial" w:hAnsi="Arial" w:cs="Arial"/>
                <w:szCs w:val="21"/>
              </w:rPr>
              <w:t xml:space="preserve">         □</w:t>
            </w:r>
            <w:r w:rsidRPr="00375DAB">
              <w:rPr>
                <w:rFonts w:ascii="Arial" w:cs="Arial"/>
                <w:szCs w:val="21"/>
              </w:rPr>
              <w:t>分析师会议</w:t>
            </w:r>
          </w:p>
          <w:p w:rsidR="00336080" w:rsidRPr="00375DAB" w:rsidRDefault="00336080" w:rsidP="00336080">
            <w:pPr>
              <w:rPr>
                <w:rFonts w:ascii="Arial" w:hAnsi="Arial" w:cs="Arial"/>
                <w:szCs w:val="21"/>
              </w:rPr>
            </w:pPr>
            <w:r w:rsidRPr="00375DAB">
              <w:rPr>
                <w:rFonts w:ascii="Arial" w:hAnsi="Arial" w:cs="Arial"/>
                <w:szCs w:val="21"/>
              </w:rPr>
              <w:t>□</w:t>
            </w:r>
            <w:r w:rsidRPr="00375DAB">
              <w:rPr>
                <w:rFonts w:ascii="Arial" w:cs="Arial"/>
                <w:szCs w:val="21"/>
              </w:rPr>
              <w:t>媒体采访</w:t>
            </w:r>
            <w:r w:rsidRPr="00375DAB">
              <w:rPr>
                <w:rFonts w:ascii="Arial" w:hAnsi="Arial" w:cs="Arial"/>
                <w:szCs w:val="21"/>
              </w:rPr>
              <w:t xml:space="preserve">             □</w:t>
            </w:r>
            <w:r w:rsidRPr="00375DAB">
              <w:rPr>
                <w:rFonts w:ascii="Arial" w:cs="Arial"/>
                <w:szCs w:val="21"/>
              </w:rPr>
              <w:t>业绩说明会</w:t>
            </w:r>
          </w:p>
          <w:p w:rsidR="00336080" w:rsidRPr="00020AE2" w:rsidRDefault="00336080" w:rsidP="00336080">
            <w:pPr>
              <w:rPr>
                <w:rFonts w:ascii="Arial" w:hAnsi="Arial" w:cs="Arial"/>
                <w:szCs w:val="21"/>
              </w:rPr>
            </w:pPr>
            <w:r w:rsidRPr="00375DAB">
              <w:rPr>
                <w:rFonts w:ascii="Arial" w:hAnsi="Arial" w:cs="Arial"/>
                <w:szCs w:val="21"/>
              </w:rPr>
              <w:t>□</w:t>
            </w:r>
            <w:r w:rsidRPr="00375DAB">
              <w:rPr>
                <w:rFonts w:ascii="Arial" w:cs="Arial"/>
                <w:szCs w:val="21"/>
              </w:rPr>
              <w:t>新闻发布会</w:t>
            </w:r>
            <w:r w:rsidRPr="00375DAB">
              <w:rPr>
                <w:rFonts w:ascii="Arial" w:hAnsi="Arial" w:cs="Arial"/>
                <w:szCs w:val="21"/>
              </w:rPr>
              <w:t xml:space="preserve">           □</w:t>
            </w:r>
            <w:r w:rsidRPr="00375DAB">
              <w:rPr>
                <w:rFonts w:ascii="Arial" w:cs="Arial"/>
                <w:szCs w:val="21"/>
              </w:rPr>
              <w:t>路演活动</w:t>
            </w:r>
          </w:p>
          <w:p w:rsidR="00336080" w:rsidRPr="00020AE2" w:rsidRDefault="00336080" w:rsidP="00336080">
            <w:pPr>
              <w:rPr>
                <w:rFonts w:ascii="Arial" w:hAnsi="Arial" w:cs="Arial"/>
                <w:szCs w:val="21"/>
              </w:rPr>
            </w:pPr>
            <w:r w:rsidRPr="00020AE2">
              <w:rPr>
                <w:rFonts w:ascii="Arial" w:hAnsi="Arial" w:cs="Arial"/>
                <w:szCs w:val="21"/>
              </w:rPr>
              <w:t>□</w:t>
            </w:r>
            <w:r w:rsidRPr="00020AE2">
              <w:rPr>
                <w:rFonts w:ascii="Arial" w:cs="Arial"/>
                <w:szCs w:val="21"/>
              </w:rPr>
              <w:t>现场参观</w:t>
            </w:r>
            <w:r>
              <w:rPr>
                <w:rFonts w:ascii="Arial" w:cs="Arial" w:hint="eastAsia"/>
                <w:szCs w:val="21"/>
              </w:rPr>
              <w:t xml:space="preserve">             </w:t>
            </w:r>
            <w:r w:rsidRPr="00375DAB">
              <w:rPr>
                <w:rFonts w:ascii="Arial" w:hAnsi="Arial" w:cs="Arial"/>
                <w:szCs w:val="21"/>
              </w:rPr>
              <w:t>■</w:t>
            </w:r>
            <w:r>
              <w:rPr>
                <w:rFonts w:ascii="Arial" w:cs="Arial" w:hint="eastAsia"/>
                <w:szCs w:val="21"/>
              </w:rPr>
              <w:t>电话会议</w:t>
            </w:r>
          </w:p>
          <w:p w:rsidR="00CA6E08" w:rsidRPr="00020AE2" w:rsidRDefault="00336080" w:rsidP="00336080">
            <w:pPr>
              <w:rPr>
                <w:rFonts w:ascii="Arial" w:hAnsi="Arial" w:cs="Arial"/>
                <w:szCs w:val="21"/>
              </w:rPr>
            </w:pPr>
            <w:r w:rsidRPr="00020AE2">
              <w:rPr>
                <w:rFonts w:ascii="Arial" w:hAnsi="Arial" w:cs="Arial"/>
                <w:szCs w:val="21"/>
              </w:rPr>
              <w:t>□</w:t>
            </w:r>
            <w:r w:rsidRPr="00020AE2">
              <w:rPr>
                <w:rFonts w:ascii="Arial" w:cs="Arial"/>
                <w:szCs w:val="21"/>
              </w:rPr>
              <w:t>其他</w:t>
            </w:r>
            <w:r w:rsidRPr="00020AE2">
              <w:rPr>
                <w:rFonts w:ascii="Arial" w:hAnsi="Arial" w:cs="Arial"/>
                <w:szCs w:val="21"/>
              </w:rPr>
              <w:t xml:space="preserve"> </w:t>
            </w:r>
            <w:r w:rsidRPr="00020AE2">
              <w:rPr>
                <w:rFonts w:ascii="Arial" w:cs="Arial"/>
                <w:szCs w:val="21"/>
              </w:rPr>
              <w:t>（请文字说明其他活动内容）</w:t>
            </w:r>
          </w:p>
        </w:tc>
      </w:tr>
      <w:tr w:rsidR="00CA6E08" w:rsidRPr="00020AE2" w:rsidTr="00A0139C">
        <w:trPr>
          <w:trHeight w:val="584"/>
          <w:jc w:val="center"/>
        </w:trPr>
        <w:tc>
          <w:tcPr>
            <w:tcW w:w="1134"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394A10">
            <w:pPr>
              <w:rPr>
                <w:rFonts w:ascii="Arial" w:eastAsiaTheme="minorEastAsia" w:hAnsi="Arial" w:cs="Arial"/>
                <w:bCs/>
                <w:iCs/>
                <w:szCs w:val="21"/>
              </w:rPr>
            </w:pPr>
            <w:r w:rsidRPr="00020AE2">
              <w:rPr>
                <w:rFonts w:ascii="Arial" w:eastAsiaTheme="minorEastAsia" w:hAnsiTheme="minorEastAsia" w:cs="Arial"/>
                <w:bCs/>
                <w:iCs/>
                <w:szCs w:val="21"/>
              </w:rPr>
              <w:t>参与单位名称及人员姓名</w:t>
            </w:r>
          </w:p>
        </w:tc>
        <w:tc>
          <w:tcPr>
            <w:tcW w:w="8768" w:type="dxa"/>
            <w:tcBorders>
              <w:top w:val="single" w:sz="4" w:space="0" w:color="auto"/>
              <w:left w:val="single" w:sz="4" w:space="0" w:color="auto"/>
              <w:bottom w:val="single" w:sz="4" w:space="0" w:color="auto"/>
              <w:right w:val="single" w:sz="4" w:space="0" w:color="auto"/>
            </w:tcBorders>
            <w:vAlign w:val="center"/>
          </w:tcPr>
          <w:p w:rsidR="00E34CEE" w:rsidRPr="00B97BBB" w:rsidRDefault="0017600F" w:rsidP="000219D2">
            <w:pPr>
              <w:spacing w:afterLines="50"/>
              <w:rPr>
                <w:rFonts w:ascii="Arial" w:hAnsi="Arial" w:cs="Arial"/>
                <w:szCs w:val="21"/>
              </w:rPr>
            </w:pPr>
            <w:r>
              <w:rPr>
                <w:rFonts w:hint="eastAsia"/>
              </w:rPr>
              <w:t>长城</w:t>
            </w:r>
            <w:r w:rsidRPr="0017600F">
              <w:t>证券</w:t>
            </w:r>
            <w:r w:rsidR="00354B93">
              <w:rPr>
                <w:rFonts w:hint="eastAsia"/>
              </w:rPr>
              <w:t>及其他</w:t>
            </w:r>
            <w:r w:rsidR="000219D2">
              <w:rPr>
                <w:rFonts w:hint="eastAsia"/>
              </w:rPr>
              <w:t>机构</w:t>
            </w:r>
            <w:r w:rsidR="00BF332A" w:rsidRPr="00CF1FEF">
              <w:rPr>
                <w:rFonts w:hint="eastAsia"/>
              </w:rPr>
              <w:t>（</w:t>
            </w:r>
            <w:r w:rsidRPr="000219D2">
              <w:rPr>
                <w:rFonts w:hint="eastAsia"/>
              </w:rPr>
              <w:t>约</w:t>
            </w:r>
            <w:r w:rsidR="00354B93" w:rsidRPr="000219D2">
              <w:rPr>
                <w:rFonts w:hint="eastAsia"/>
              </w:rPr>
              <w:t>110</w:t>
            </w:r>
            <w:r w:rsidR="00BF332A" w:rsidRPr="000219D2">
              <w:rPr>
                <w:rFonts w:hint="eastAsia"/>
              </w:rPr>
              <w:t>名投资人</w:t>
            </w:r>
            <w:r w:rsidR="00BF332A" w:rsidRPr="00CF1FEF">
              <w:rPr>
                <w:rFonts w:hint="eastAsia"/>
              </w:rPr>
              <w:t>）</w:t>
            </w:r>
            <w:r w:rsidR="00BF332A">
              <w:rPr>
                <w:rFonts w:hint="eastAsia"/>
              </w:rPr>
              <w:t>参加公司</w:t>
            </w:r>
            <w:r w:rsidR="00BF332A">
              <w:rPr>
                <w:rFonts w:hint="eastAsia"/>
              </w:rPr>
              <w:t>9</w:t>
            </w:r>
            <w:r w:rsidR="00BF332A">
              <w:rPr>
                <w:rFonts w:hint="eastAsia"/>
              </w:rPr>
              <w:t>月</w:t>
            </w:r>
            <w:r w:rsidR="00BF332A">
              <w:rPr>
                <w:rFonts w:hint="eastAsia"/>
              </w:rPr>
              <w:t>28</w:t>
            </w:r>
            <w:r w:rsidR="00BF332A">
              <w:rPr>
                <w:rFonts w:hint="eastAsia"/>
              </w:rPr>
              <w:t>日举行的“</w:t>
            </w:r>
            <w:r w:rsidR="00BF332A" w:rsidRPr="00BF332A">
              <w:rPr>
                <w:rFonts w:hint="eastAsia"/>
              </w:rPr>
              <w:t>35</w:t>
            </w:r>
            <w:r w:rsidR="00BF332A" w:rsidRPr="00BF332A">
              <w:rPr>
                <w:rFonts w:hint="eastAsia"/>
              </w:rPr>
              <w:t>亿“市价定增”再融资，奠定大富科技新起点</w:t>
            </w:r>
            <w:r w:rsidR="00BF332A">
              <w:rPr>
                <w:rFonts w:hint="eastAsia"/>
              </w:rPr>
              <w:t>”电话会议。</w:t>
            </w:r>
          </w:p>
        </w:tc>
      </w:tr>
      <w:tr w:rsidR="00BF332A" w:rsidRPr="00020AE2" w:rsidTr="00A0139C">
        <w:trPr>
          <w:trHeight w:val="471"/>
          <w:jc w:val="center"/>
        </w:trPr>
        <w:tc>
          <w:tcPr>
            <w:tcW w:w="1134" w:type="dxa"/>
            <w:tcBorders>
              <w:top w:val="single" w:sz="4" w:space="0" w:color="auto"/>
              <w:left w:val="single" w:sz="4" w:space="0" w:color="auto"/>
              <w:bottom w:val="single" w:sz="4" w:space="0" w:color="auto"/>
              <w:right w:val="single" w:sz="4" w:space="0" w:color="auto"/>
            </w:tcBorders>
            <w:vAlign w:val="center"/>
          </w:tcPr>
          <w:p w:rsidR="00BF332A" w:rsidRPr="00020AE2" w:rsidRDefault="00BF332A" w:rsidP="00394A10">
            <w:pPr>
              <w:rPr>
                <w:rFonts w:ascii="Arial" w:eastAsiaTheme="minorEastAsia" w:hAnsi="Arial" w:cs="Arial"/>
                <w:bCs/>
                <w:iCs/>
                <w:szCs w:val="21"/>
              </w:rPr>
            </w:pPr>
            <w:r w:rsidRPr="00020AE2">
              <w:rPr>
                <w:rFonts w:ascii="Arial" w:eastAsiaTheme="minorEastAsia" w:hAnsiTheme="minorEastAsia" w:cs="Arial"/>
                <w:bCs/>
                <w:iCs/>
                <w:szCs w:val="21"/>
              </w:rPr>
              <w:t>时间</w:t>
            </w:r>
          </w:p>
        </w:tc>
        <w:tc>
          <w:tcPr>
            <w:tcW w:w="8768" w:type="dxa"/>
            <w:tcBorders>
              <w:top w:val="single" w:sz="4" w:space="0" w:color="auto"/>
              <w:left w:val="single" w:sz="4" w:space="0" w:color="auto"/>
              <w:bottom w:val="single" w:sz="4" w:space="0" w:color="auto"/>
              <w:right w:val="single" w:sz="4" w:space="0" w:color="auto"/>
            </w:tcBorders>
            <w:vAlign w:val="center"/>
          </w:tcPr>
          <w:p w:rsidR="00BF332A" w:rsidRPr="009440E1" w:rsidRDefault="00BF332A" w:rsidP="00BF332A">
            <w:pPr>
              <w:rPr>
                <w:rFonts w:ascii="Arial" w:eastAsiaTheme="minorEastAsia" w:hAnsi="Arial" w:cs="Arial"/>
                <w:bCs/>
                <w:iCs/>
                <w:szCs w:val="21"/>
                <w:highlight w:val="yellow"/>
              </w:rPr>
            </w:pPr>
            <w:r w:rsidRPr="00B2256B">
              <w:rPr>
                <w:rFonts w:ascii="Arial" w:eastAsiaTheme="minorEastAsia" w:hAnsi="Arial" w:cs="Arial"/>
                <w:bCs/>
                <w:iCs/>
                <w:szCs w:val="21"/>
              </w:rPr>
              <w:t>201</w:t>
            </w:r>
            <w:r w:rsidRPr="00B2256B">
              <w:rPr>
                <w:rFonts w:ascii="Arial" w:eastAsiaTheme="minorEastAsia" w:hAnsi="Arial" w:cs="Arial" w:hint="eastAsia"/>
                <w:bCs/>
                <w:iCs/>
                <w:szCs w:val="21"/>
              </w:rPr>
              <w:t>6</w:t>
            </w:r>
            <w:r>
              <w:rPr>
                <w:rFonts w:ascii="Arial" w:eastAsiaTheme="minorEastAsia" w:hAnsi="Arial" w:cs="Arial" w:hint="eastAsia"/>
                <w:bCs/>
                <w:iCs/>
                <w:szCs w:val="21"/>
              </w:rPr>
              <w:t>年</w:t>
            </w:r>
            <w:r>
              <w:rPr>
                <w:rFonts w:ascii="Arial" w:eastAsiaTheme="minorEastAsia" w:hAnsi="Arial" w:cs="Arial" w:hint="eastAsia"/>
                <w:bCs/>
                <w:iCs/>
                <w:szCs w:val="21"/>
              </w:rPr>
              <w:t>9</w:t>
            </w:r>
            <w:r>
              <w:rPr>
                <w:rFonts w:ascii="Arial" w:eastAsiaTheme="minorEastAsia" w:hAnsi="Arial" w:cs="Arial" w:hint="eastAsia"/>
                <w:bCs/>
                <w:iCs/>
                <w:szCs w:val="21"/>
              </w:rPr>
              <w:t>月</w:t>
            </w:r>
            <w:r>
              <w:rPr>
                <w:rFonts w:ascii="Arial" w:eastAsiaTheme="minorEastAsia" w:hAnsi="Arial" w:cs="Arial" w:hint="eastAsia"/>
                <w:bCs/>
                <w:iCs/>
                <w:szCs w:val="21"/>
              </w:rPr>
              <w:t>28</w:t>
            </w:r>
            <w:r>
              <w:rPr>
                <w:rFonts w:ascii="Arial" w:eastAsiaTheme="minorEastAsia" w:hAnsi="Arial" w:cs="Arial" w:hint="eastAsia"/>
                <w:bCs/>
                <w:iCs/>
                <w:szCs w:val="21"/>
              </w:rPr>
              <w:t>日上午</w:t>
            </w:r>
            <w:r>
              <w:rPr>
                <w:rFonts w:ascii="Arial" w:eastAsiaTheme="minorEastAsia" w:hAnsi="Arial" w:cs="Arial" w:hint="eastAsia"/>
                <w:bCs/>
                <w:iCs/>
                <w:szCs w:val="21"/>
              </w:rPr>
              <w:t>9</w:t>
            </w:r>
            <w:r w:rsidRPr="00B2256B">
              <w:rPr>
                <w:rFonts w:ascii="Arial" w:eastAsiaTheme="minorEastAsia" w:hAnsi="Arial" w:cs="Arial" w:hint="eastAsia"/>
                <w:bCs/>
                <w:iCs/>
                <w:szCs w:val="21"/>
              </w:rPr>
              <w:t>:</w:t>
            </w:r>
            <w:r>
              <w:rPr>
                <w:rFonts w:ascii="Arial" w:eastAsiaTheme="minorEastAsia" w:hAnsi="Arial" w:cs="Arial" w:hint="eastAsia"/>
                <w:bCs/>
                <w:iCs/>
                <w:szCs w:val="21"/>
              </w:rPr>
              <w:t>00</w:t>
            </w:r>
            <w:r w:rsidRPr="00B2256B">
              <w:rPr>
                <w:rFonts w:ascii="Arial" w:eastAsiaTheme="minorEastAsia" w:hAnsi="Arial" w:cs="Arial"/>
                <w:bCs/>
                <w:iCs/>
                <w:szCs w:val="21"/>
              </w:rPr>
              <w:t>–</w:t>
            </w:r>
            <w:r>
              <w:rPr>
                <w:rFonts w:ascii="Arial" w:eastAsiaTheme="minorEastAsia" w:hAnsi="Arial" w:cs="Arial" w:hint="eastAsia"/>
                <w:bCs/>
                <w:iCs/>
                <w:szCs w:val="21"/>
              </w:rPr>
              <w:t>10:30</w:t>
            </w:r>
          </w:p>
        </w:tc>
      </w:tr>
      <w:tr w:rsidR="00BF332A" w:rsidRPr="00020AE2" w:rsidTr="00A0139C">
        <w:trPr>
          <w:trHeight w:val="503"/>
          <w:jc w:val="center"/>
        </w:trPr>
        <w:tc>
          <w:tcPr>
            <w:tcW w:w="1134" w:type="dxa"/>
            <w:tcBorders>
              <w:top w:val="single" w:sz="4" w:space="0" w:color="auto"/>
              <w:left w:val="single" w:sz="4" w:space="0" w:color="auto"/>
              <w:bottom w:val="single" w:sz="4" w:space="0" w:color="auto"/>
              <w:right w:val="single" w:sz="4" w:space="0" w:color="auto"/>
            </w:tcBorders>
            <w:vAlign w:val="center"/>
          </w:tcPr>
          <w:p w:rsidR="00BF332A" w:rsidRPr="00020AE2" w:rsidRDefault="00BF332A" w:rsidP="00394A10">
            <w:pPr>
              <w:rPr>
                <w:rFonts w:ascii="Arial" w:eastAsiaTheme="minorEastAsia" w:hAnsi="Arial" w:cs="Arial"/>
                <w:bCs/>
                <w:iCs/>
                <w:szCs w:val="21"/>
              </w:rPr>
            </w:pPr>
            <w:r w:rsidRPr="00020AE2">
              <w:rPr>
                <w:rFonts w:ascii="Arial" w:eastAsiaTheme="minorEastAsia" w:hAnsiTheme="minorEastAsia" w:cs="Arial"/>
                <w:bCs/>
                <w:iCs/>
                <w:szCs w:val="21"/>
              </w:rPr>
              <w:t>地点</w:t>
            </w:r>
          </w:p>
        </w:tc>
        <w:tc>
          <w:tcPr>
            <w:tcW w:w="8768" w:type="dxa"/>
            <w:tcBorders>
              <w:top w:val="single" w:sz="4" w:space="0" w:color="auto"/>
              <w:left w:val="single" w:sz="4" w:space="0" w:color="auto"/>
              <w:bottom w:val="single" w:sz="4" w:space="0" w:color="auto"/>
              <w:right w:val="single" w:sz="4" w:space="0" w:color="auto"/>
            </w:tcBorders>
            <w:vAlign w:val="center"/>
          </w:tcPr>
          <w:p w:rsidR="00BF332A" w:rsidRPr="001645AC" w:rsidRDefault="00BF332A" w:rsidP="00906096">
            <w:pPr>
              <w:rPr>
                <w:rFonts w:ascii="Arial" w:eastAsiaTheme="minorEastAsia" w:hAnsi="Arial" w:cs="Arial"/>
                <w:bCs/>
                <w:iCs/>
                <w:szCs w:val="21"/>
              </w:rPr>
            </w:pPr>
            <w:r>
              <w:rPr>
                <w:rStyle w:val="s5"/>
                <w:rFonts w:hint="eastAsia"/>
              </w:rPr>
              <w:t>深圳市大富科技股份有限公司会议室</w:t>
            </w:r>
          </w:p>
        </w:tc>
      </w:tr>
      <w:tr w:rsidR="00BF332A" w:rsidRPr="00020AE2" w:rsidTr="00A0139C">
        <w:trPr>
          <w:trHeight w:val="670"/>
          <w:jc w:val="center"/>
        </w:trPr>
        <w:tc>
          <w:tcPr>
            <w:tcW w:w="1134" w:type="dxa"/>
            <w:tcBorders>
              <w:top w:val="single" w:sz="4" w:space="0" w:color="auto"/>
              <w:left w:val="single" w:sz="4" w:space="0" w:color="auto"/>
              <w:bottom w:val="single" w:sz="4" w:space="0" w:color="auto"/>
              <w:right w:val="single" w:sz="4" w:space="0" w:color="auto"/>
            </w:tcBorders>
            <w:vAlign w:val="center"/>
          </w:tcPr>
          <w:p w:rsidR="00BF332A" w:rsidRPr="00020AE2" w:rsidRDefault="00BF332A" w:rsidP="00394A10">
            <w:pPr>
              <w:rPr>
                <w:rFonts w:ascii="Arial" w:eastAsiaTheme="minorEastAsia" w:hAnsi="Arial" w:cs="Arial"/>
                <w:bCs/>
                <w:iCs/>
                <w:szCs w:val="21"/>
              </w:rPr>
            </w:pPr>
            <w:r w:rsidRPr="00020AE2">
              <w:rPr>
                <w:rFonts w:ascii="Arial" w:eastAsiaTheme="minorEastAsia" w:hAnsiTheme="minorEastAsia" w:cs="Arial"/>
                <w:bCs/>
                <w:iCs/>
                <w:szCs w:val="21"/>
              </w:rPr>
              <w:t>上市公司接待人员姓名</w:t>
            </w:r>
          </w:p>
        </w:tc>
        <w:tc>
          <w:tcPr>
            <w:tcW w:w="8768" w:type="dxa"/>
            <w:tcBorders>
              <w:top w:val="single" w:sz="4" w:space="0" w:color="auto"/>
              <w:left w:val="single" w:sz="4" w:space="0" w:color="auto"/>
              <w:bottom w:val="single" w:sz="4" w:space="0" w:color="auto"/>
              <w:right w:val="single" w:sz="4" w:space="0" w:color="auto"/>
            </w:tcBorders>
            <w:vAlign w:val="center"/>
          </w:tcPr>
          <w:p w:rsidR="00BF332A" w:rsidRPr="001645AC" w:rsidRDefault="00BF332A" w:rsidP="00906096">
            <w:pPr>
              <w:jc w:val="left"/>
              <w:rPr>
                <w:rFonts w:ascii="Arial" w:eastAsiaTheme="minorEastAsia" w:hAnsi="Arial" w:cs="Arial"/>
                <w:bCs/>
                <w:iCs/>
                <w:szCs w:val="21"/>
              </w:rPr>
            </w:pPr>
            <w:r>
              <w:rPr>
                <w:rFonts w:ascii="Arial" w:cs="Arial" w:hint="eastAsia"/>
                <w:szCs w:val="21"/>
              </w:rPr>
              <w:t>董事会秘书林晓媚、</w:t>
            </w:r>
            <w:r w:rsidRPr="00ED3E7C">
              <w:rPr>
                <w:rFonts w:ascii="Arial" w:cs="Arial" w:hint="eastAsia"/>
                <w:szCs w:val="21"/>
              </w:rPr>
              <w:t>董事长助理肖竞</w:t>
            </w:r>
          </w:p>
        </w:tc>
      </w:tr>
      <w:tr w:rsidR="00BF332A" w:rsidRPr="00020AE2" w:rsidTr="00A0139C">
        <w:trPr>
          <w:trHeight w:val="1826"/>
          <w:jc w:val="center"/>
        </w:trPr>
        <w:tc>
          <w:tcPr>
            <w:tcW w:w="1134" w:type="dxa"/>
            <w:tcBorders>
              <w:top w:val="single" w:sz="4" w:space="0" w:color="auto"/>
              <w:left w:val="single" w:sz="4" w:space="0" w:color="auto"/>
              <w:bottom w:val="single" w:sz="4" w:space="0" w:color="auto"/>
              <w:right w:val="single" w:sz="4" w:space="0" w:color="auto"/>
            </w:tcBorders>
            <w:vAlign w:val="center"/>
          </w:tcPr>
          <w:p w:rsidR="00BF332A" w:rsidRPr="00020AE2" w:rsidRDefault="00BF332A" w:rsidP="00394A10">
            <w:pPr>
              <w:rPr>
                <w:rFonts w:ascii="Arial" w:eastAsiaTheme="minorEastAsia" w:hAnsi="Arial" w:cs="Arial"/>
                <w:bCs/>
                <w:iCs/>
                <w:szCs w:val="21"/>
              </w:rPr>
            </w:pPr>
            <w:r w:rsidRPr="00020AE2">
              <w:rPr>
                <w:rFonts w:ascii="Arial" w:eastAsiaTheme="minorEastAsia" w:hAnsiTheme="minorEastAsia" w:cs="Arial"/>
                <w:bCs/>
                <w:iCs/>
                <w:szCs w:val="21"/>
              </w:rPr>
              <w:t>投资者关系活动主内容介绍</w:t>
            </w:r>
          </w:p>
        </w:tc>
        <w:tc>
          <w:tcPr>
            <w:tcW w:w="8768" w:type="dxa"/>
            <w:tcBorders>
              <w:top w:val="single" w:sz="4" w:space="0" w:color="auto"/>
              <w:left w:val="single" w:sz="4" w:space="0" w:color="auto"/>
              <w:bottom w:val="single" w:sz="4" w:space="0" w:color="auto"/>
              <w:right w:val="single" w:sz="4" w:space="0" w:color="auto"/>
            </w:tcBorders>
            <w:vAlign w:val="center"/>
          </w:tcPr>
          <w:p w:rsidR="00336080" w:rsidRPr="008D5777" w:rsidRDefault="00336080" w:rsidP="000219D2">
            <w:pPr>
              <w:spacing w:afterLines="50"/>
              <w:rPr>
                <w:b/>
                <w:sz w:val="28"/>
              </w:rPr>
            </w:pPr>
            <w:r w:rsidRPr="008D5777">
              <w:rPr>
                <w:rFonts w:hint="eastAsia"/>
                <w:b/>
                <w:sz w:val="28"/>
              </w:rPr>
              <w:t>35</w:t>
            </w:r>
            <w:r w:rsidRPr="008D5777">
              <w:rPr>
                <w:rFonts w:hint="eastAsia"/>
                <w:b/>
                <w:sz w:val="28"/>
              </w:rPr>
              <w:t>亿“市价定增”再融资，</w:t>
            </w:r>
            <w:r>
              <w:rPr>
                <w:rFonts w:hint="eastAsia"/>
                <w:b/>
                <w:sz w:val="28"/>
              </w:rPr>
              <w:t>奠定</w:t>
            </w:r>
            <w:r w:rsidRPr="008D5777">
              <w:rPr>
                <w:rFonts w:hint="eastAsia"/>
                <w:b/>
                <w:sz w:val="28"/>
              </w:rPr>
              <w:t>大富科技</w:t>
            </w:r>
            <w:r>
              <w:rPr>
                <w:rFonts w:hint="eastAsia"/>
                <w:b/>
                <w:sz w:val="28"/>
              </w:rPr>
              <w:t>新起点</w:t>
            </w:r>
          </w:p>
          <w:p w:rsidR="00336080" w:rsidRDefault="00336080" w:rsidP="000219D2">
            <w:pPr>
              <w:spacing w:afterLines="50"/>
              <w:ind w:firstLineChars="200" w:firstLine="420"/>
              <w:rPr>
                <w:rFonts w:ascii="Arial" w:eastAsiaTheme="minorEastAsia" w:hAnsi="Arial" w:cs="Arial"/>
                <w:szCs w:val="21"/>
              </w:rPr>
            </w:pPr>
            <w:r w:rsidRPr="00F05FBC">
              <w:rPr>
                <w:rFonts w:ascii="Arial" w:eastAsiaTheme="minorEastAsia" w:hAnsi="Arial" w:cs="Arial" w:hint="eastAsia"/>
                <w:szCs w:val="21"/>
              </w:rPr>
              <w:t>本次发行是大富科技</w:t>
            </w:r>
            <w:r w:rsidRPr="00F05FBC">
              <w:rPr>
                <w:rFonts w:ascii="Arial" w:eastAsiaTheme="minorEastAsia" w:hAnsi="Arial" w:cs="Arial" w:hint="eastAsia"/>
                <w:szCs w:val="21"/>
              </w:rPr>
              <w:t>IPO</w:t>
            </w:r>
            <w:r w:rsidRPr="00F05FBC">
              <w:rPr>
                <w:rFonts w:ascii="Arial" w:eastAsiaTheme="minorEastAsia" w:hAnsi="Arial" w:cs="Arial" w:hint="eastAsia"/>
                <w:szCs w:val="21"/>
              </w:rPr>
              <w:t>以来首次非公开发行，在公司发展史上具有里程碑意义，是公司自</w:t>
            </w:r>
            <w:r w:rsidRPr="00F05FBC">
              <w:rPr>
                <w:rFonts w:ascii="Arial" w:eastAsiaTheme="minorEastAsia" w:hAnsi="Arial" w:cs="Arial" w:hint="eastAsia"/>
                <w:szCs w:val="21"/>
              </w:rPr>
              <w:t>IPO</w:t>
            </w:r>
            <w:r>
              <w:rPr>
                <w:rFonts w:ascii="Arial" w:eastAsiaTheme="minorEastAsia" w:hAnsi="Arial" w:cs="Arial" w:hint="eastAsia"/>
                <w:szCs w:val="21"/>
              </w:rPr>
              <w:t>之后的</w:t>
            </w:r>
            <w:r w:rsidRPr="00F05FBC">
              <w:rPr>
                <w:rFonts w:ascii="Arial" w:eastAsiaTheme="minorEastAsia" w:hAnsi="Arial" w:cs="Arial" w:hint="eastAsia"/>
                <w:szCs w:val="21"/>
              </w:rPr>
              <w:t>新起点。本次发行规模大，募集资金额高，</w:t>
            </w:r>
            <w:r>
              <w:rPr>
                <w:rFonts w:ascii="Arial" w:eastAsiaTheme="minorEastAsia" w:hAnsi="Arial" w:cs="Arial" w:hint="eastAsia"/>
                <w:szCs w:val="21"/>
              </w:rPr>
              <w:t>若能够成功完成，将在创业板非公开发行历史上排名靠前。本次发行</w:t>
            </w:r>
            <w:r w:rsidRPr="00F05FBC">
              <w:rPr>
                <w:rFonts w:ascii="Arial" w:eastAsiaTheme="minorEastAsia" w:hAnsi="Arial" w:cs="Arial" w:hint="eastAsia"/>
                <w:szCs w:val="21"/>
              </w:rPr>
              <w:t>对公司成功持续转型，</w:t>
            </w:r>
            <w:r>
              <w:rPr>
                <w:rFonts w:ascii="Arial" w:eastAsiaTheme="minorEastAsia" w:hAnsi="Arial" w:cs="Arial" w:hint="eastAsia"/>
                <w:szCs w:val="21"/>
              </w:rPr>
              <w:t>改善财务状况，提升公司各项指标，增强资本市场影响力</w:t>
            </w:r>
            <w:r w:rsidRPr="00F05FBC">
              <w:rPr>
                <w:rFonts w:ascii="Arial" w:eastAsiaTheme="minorEastAsia" w:hAnsi="Arial" w:cs="Arial" w:hint="eastAsia"/>
                <w:szCs w:val="21"/>
              </w:rPr>
              <w:t>具有重要意义。</w:t>
            </w:r>
          </w:p>
          <w:p w:rsidR="00336080" w:rsidRPr="005A0828" w:rsidRDefault="00336080" w:rsidP="000219D2">
            <w:pPr>
              <w:spacing w:afterLines="50"/>
              <w:rPr>
                <w:b/>
              </w:rPr>
            </w:pPr>
            <w:r w:rsidRPr="005A0828">
              <w:rPr>
                <w:rFonts w:hint="eastAsia"/>
                <w:b/>
              </w:rPr>
              <w:t>1</w:t>
            </w:r>
            <w:r>
              <w:rPr>
                <w:b/>
              </w:rPr>
              <w:t>.</w:t>
            </w:r>
            <w:r>
              <w:rPr>
                <w:rFonts w:hint="eastAsia"/>
                <w:b/>
              </w:rPr>
              <w:t>“市价定增”</w:t>
            </w:r>
            <w:r w:rsidRPr="00054716">
              <w:rPr>
                <w:rFonts w:hint="eastAsia"/>
                <w:b/>
              </w:rPr>
              <w:t>募集资金量</w:t>
            </w:r>
            <w:r>
              <w:rPr>
                <w:rFonts w:hint="eastAsia"/>
                <w:b/>
              </w:rPr>
              <w:t>目前排名第一</w:t>
            </w:r>
          </w:p>
          <w:p w:rsidR="00336080" w:rsidRDefault="00336080" w:rsidP="000219D2">
            <w:pPr>
              <w:spacing w:afterLines="50"/>
              <w:ind w:firstLineChars="200" w:firstLine="420"/>
              <w:rPr>
                <w:rFonts w:ascii="Arial" w:eastAsiaTheme="minorEastAsia" w:hAnsi="Arial" w:cs="Arial"/>
                <w:szCs w:val="21"/>
              </w:rPr>
            </w:pPr>
            <w:r w:rsidRPr="00054716">
              <w:rPr>
                <w:rFonts w:ascii="Arial" w:eastAsiaTheme="minorEastAsia" w:hAnsi="Arial" w:cs="Arial" w:hint="eastAsia"/>
                <w:szCs w:val="21"/>
              </w:rPr>
              <w:t>公司此次定增发行规模较大，若成功完成，将创下定向增发的数项纪录。首先，此次发行将成为</w:t>
            </w:r>
            <w:r w:rsidRPr="00054716">
              <w:rPr>
                <w:rFonts w:ascii="Arial" w:eastAsiaTheme="minorEastAsia" w:hAnsi="Arial" w:cs="Arial" w:hint="eastAsia"/>
                <w:szCs w:val="21"/>
              </w:rPr>
              <w:t>2014</w:t>
            </w:r>
            <w:r w:rsidRPr="00054716">
              <w:rPr>
                <w:rFonts w:ascii="Arial" w:eastAsiaTheme="minorEastAsia" w:hAnsi="Arial" w:cs="Arial" w:hint="eastAsia"/>
                <w:szCs w:val="21"/>
              </w:rPr>
              <w:t>年</w:t>
            </w:r>
            <w:r w:rsidRPr="00054716">
              <w:rPr>
                <w:rFonts w:ascii="Arial" w:eastAsiaTheme="minorEastAsia" w:hAnsi="Arial" w:cs="Arial" w:hint="eastAsia"/>
                <w:szCs w:val="21"/>
              </w:rPr>
              <w:t>5</w:t>
            </w:r>
            <w:r w:rsidRPr="00054716">
              <w:rPr>
                <w:rFonts w:ascii="Arial" w:eastAsiaTheme="minorEastAsia" w:hAnsi="Arial" w:cs="Arial" w:hint="eastAsia"/>
                <w:szCs w:val="21"/>
              </w:rPr>
              <w:t>月</w:t>
            </w:r>
            <w:r w:rsidRPr="00054716">
              <w:rPr>
                <w:rFonts w:ascii="Arial" w:eastAsiaTheme="minorEastAsia" w:hAnsi="Arial" w:cs="Arial" w:hint="eastAsia"/>
                <w:szCs w:val="21"/>
              </w:rPr>
              <w:t>26</w:t>
            </w:r>
            <w:r w:rsidRPr="00054716">
              <w:rPr>
                <w:rFonts w:ascii="Arial" w:eastAsiaTheme="minorEastAsia" w:hAnsi="Arial" w:cs="Arial" w:hint="eastAsia"/>
                <w:szCs w:val="21"/>
              </w:rPr>
              <w:t>日发布《创业板上市公司证券发行管理暂行办法》以来，</w:t>
            </w:r>
            <w:r w:rsidRPr="00326A03">
              <w:rPr>
                <w:rFonts w:ascii="Arial" w:eastAsiaTheme="minorEastAsia" w:hAnsi="Arial" w:cs="Arial" w:hint="eastAsia"/>
                <w:b/>
                <w:szCs w:val="21"/>
              </w:rPr>
              <w:t>以</w:t>
            </w:r>
            <w:r>
              <w:rPr>
                <w:rFonts w:ascii="Arial" w:eastAsiaTheme="minorEastAsia" w:hAnsi="Arial" w:cs="Arial" w:hint="eastAsia"/>
                <w:b/>
                <w:szCs w:val="21"/>
              </w:rPr>
              <w:t>“市价定增”募集</w:t>
            </w:r>
            <w:r w:rsidRPr="00326A03">
              <w:rPr>
                <w:rFonts w:ascii="Arial" w:eastAsiaTheme="minorEastAsia" w:hAnsi="Arial" w:cs="Arial" w:hint="eastAsia"/>
                <w:b/>
                <w:szCs w:val="21"/>
              </w:rPr>
              <w:t>规模最大的再融资项目；同时，也是创业板有史以来以现金认购的、竞价发行</w:t>
            </w:r>
            <w:r>
              <w:rPr>
                <w:rFonts w:ascii="Arial" w:eastAsiaTheme="minorEastAsia" w:hAnsi="Arial" w:cs="Arial" w:hint="eastAsia"/>
                <w:b/>
                <w:szCs w:val="21"/>
              </w:rPr>
              <w:t>的再融资项目中（不含收购资产的项目），</w:t>
            </w:r>
            <w:r w:rsidRPr="00326A03">
              <w:rPr>
                <w:rFonts w:ascii="Arial" w:eastAsiaTheme="minorEastAsia" w:hAnsi="Arial" w:cs="Arial" w:hint="eastAsia"/>
                <w:b/>
                <w:szCs w:val="21"/>
              </w:rPr>
              <w:t>实际募集净</w:t>
            </w:r>
            <w:r>
              <w:rPr>
                <w:rFonts w:ascii="Arial" w:eastAsiaTheme="minorEastAsia" w:hAnsi="Arial" w:cs="Arial" w:hint="eastAsia"/>
                <w:b/>
                <w:szCs w:val="21"/>
              </w:rPr>
              <w:t>额排名第三</w:t>
            </w:r>
            <w:r w:rsidRPr="00326A03">
              <w:rPr>
                <w:rFonts w:ascii="Arial" w:eastAsiaTheme="minorEastAsia" w:hAnsi="Arial" w:cs="Arial" w:hint="eastAsia"/>
                <w:b/>
                <w:szCs w:val="21"/>
              </w:rPr>
              <w:t>（</w:t>
            </w:r>
            <w:r w:rsidRPr="00326A03">
              <w:rPr>
                <w:rFonts w:ascii="Arial" w:eastAsiaTheme="minorEastAsia" w:hAnsi="Arial" w:cs="Arial" w:hint="eastAsia"/>
                <w:b/>
                <w:szCs w:val="21"/>
              </w:rPr>
              <w:t>3</w:t>
            </w:r>
            <w:r w:rsidRPr="00326A03">
              <w:rPr>
                <w:rFonts w:ascii="Arial" w:eastAsiaTheme="minorEastAsia" w:hAnsi="Arial" w:cs="Arial"/>
                <w:b/>
                <w:szCs w:val="21"/>
              </w:rPr>
              <w:t>4.5</w:t>
            </w:r>
            <w:r w:rsidRPr="00326A03">
              <w:rPr>
                <w:rFonts w:ascii="Arial" w:eastAsiaTheme="minorEastAsia" w:hAnsi="Arial" w:cs="Arial" w:hint="eastAsia"/>
                <w:b/>
                <w:szCs w:val="21"/>
              </w:rPr>
              <w:t>亿元），仅次于</w:t>
            </w:r>
            <w:r>
              <w:rPr>
                <w:rFonts w:ascii="Arial" w:eastAsiaTheme="minorEastAsia" w:hAnsi="Arial" w:cs="Arial" w:hint="eastAsia"/>
                <w:b/>
                <w:szCs w:val="21"/>
              </w:rPr>
              <w:t>碧水源（</w:t>
            </w:r>
            <w:r>
              <w:rPr>
                <w:rFonts w:ascii="Arial" w:eastAsiaTheme="minorEastAsia" w:hAnsi="Arial" w:cs="Arial" w:hint="eastAsia"/>
                <w:b/>
                <w:szCs w:val="21"/>
              </w:rPr>
              <w:t>6</w:t>
            </w:r>
            <w:r>
              <w:rPr>
                <w:rFonts w:ascii="Arial" w:eastAsiaTheme="minorEastAsia" w:hAnsi="Arial" w:cs="Arial"/>
                <w:b/>
                <w:szCs w:val="21"/>
              </w:rPr>
              <w:t>1.87</w:t>
            </w:r>
            <w:r>
              <w:rPr>
                <w:rFonts w:ascii="Arial" w:eastAsiaTheme="minorEastAsia" w:hAnsi="Arial" w:cs="Arial"/>
                <w:b/>
                <w:szCs w:val="21"/>
              </w:rPr>
              <w:t>亿元</w:t>
            </w:r>
            <w:bookmarkStart w:id="0" w:name="_GoBack"/>
            <w:bookmarkEnd w:id="0"/>
            <w:r>
              <w:rPr>
                <w:rFonts w:ascii="Arial" w:eastAsiaTheme="minorEastAsia" w:hAnsi="Arial" w:cs="Arial" w:hint="eastAsia"/>
                <w:b/>
                <w:szCs w:val="21"/>
              </w:rPr>
              <w:t>）和</w:t>
            </w:r>
            <w:r w:rsidRPr="00326A03">
              <w:rPr>
                <w:rFonts w:ascii="Arial" w:eastAsiaTheme="minorEastAsia" w:hAnsi="Arial" w:cs="Arial" w:hint="eastAsia"/>
                <w:b/>
                <w:szCs w:val="21"/>
              </w:rPr>
              <w:t>乐视网（</w:t>
            </w:r>
            <w:r w:rsidRPr="00326A03">
              <w:rPr>
                <w:rFonts w:ascii="Arial" w:eastAsiaTheme="minorEastAsia" w:hAnsi="Arial" w:cs="Arial" w:hint="eastAsia"/>
                <w:b/>
                <w:szCs w:val="21"/>
              </w:rPr>
              <w:t>4</w:t>
            </w:r>
            <w:r>
              <w:rPr>
                <w:rFonts w:ascii="Arial" w:eastAsiaTheme="minorEastAsia" w:hAnsi="Arial" w:cs="Arial"/>
                <w:b/>
                <w:szCs w:val="21"/>
              </w:rPr>
              <w:t>7.16</w:t>
            </w:r>
            <w:r w:rsidRPr="00326A03">
              <w:rPr>
                <w:rFonts w:ascii="Arial" w:eastAsiaTheme="minorEastAsia" w:hAnsi="Arial" w:cs="Arial" w:hint="eastAsia"/>
                <w:b/>
                <w:szCs w:val="21"/>
              </w:rPr>
              <w:t>亿元）。在今年两市以现金认购的、竞价发行的再融资项目中，此次大富科技定增单份募集资金量排名第</w:t>
            </w:r>
            <w:r>
              <w:rPr>
                <w:rFonts w:ascii="Arial" w:eastAsiaTheme="minorEastAsia" w:hAnsi="Arial" w:cs="Arial"/>
                <w:b/>
                <w:szCs w:val="21"/>
              </w:rPr>
              <w:t>11</w:t>
            </w:r>
            <w:r w:rsidRPr="00326A03">
              <w:rPr>
                <w:rFonts w:ascii="Arial" w:eastAsiaTheme="minorEastAsia" w:hAnsi="Arial" w:cs="Arial" w:hint="eastAsia"/>
                <w:b/>
                <w:szCs w:val="21"/>
              </w:rPr>
              <w:t>。</w:t>
            </w:r>
          </w:p>
          <w:p w:rsidR="00336080" w:rsidRPr="00054716" w:rsidRDefault="00336080" w:rsidP="000219D2">
            <w:pPr>
              <w:spacing w:afterLines="50"/>
              <w:rPr>
                <w:b/>
              </w:rPr>
            </w:pPr>
            <w:r>
              <w:rPr>
                <w:b/>
              </w:rPr>
              <w:t>2.</w:t>
            </w:r>
            <w:r w:rsidRPr="00054716">
              <w:rPr>
                <w:rFonts w:hint="eastAsia"/>
                <w:b/>
              </w:rPr>
              <w:t>募集资金与市值比例</w:t>
            </w:r>
            <w:r>
              <w:rPr>
                <w:rFonts w:hint="eastAsia"/>
                <w:b/>
              </w:rPr>
              <w:t>刷新记录——投资人认可度高</w:t>
            </w:r>
          </w:p>
          <w:p w:rsidR="00336080" w:rsidRPr="008C1991" w:rsidRDefault="00336080" w:rsidP="000219D2">
            <w:pPr>
              <w:spacing w:afterLines="50"/>
              <w:ind w:firstLineChars="200" w:firstLine="422"/>
              <w:rPr>
                <w:rFonts w:ascii="Arial" w:eastAsiaTheme="minorEastAsia" w:hAnsi="Arial" w:cs="Arial"/>
                <w:b/>
                <w:szCs w:val="21"/>
              </w:rPr>
            </w:pPr>
            <w:r w:rsidRPr="008C1991">
              <w:rPr>
                <w:rFonts w:ascii="Arial" w:eastAsiaTheme="minorEastAsia" w:hAnsi="Arial" w:cs="Arial"/>
                <w:b/>
                <w:szCs w:val="21"/>
              </w:rPr>
              <w:t>和</w:t>
            </w:r>
            <w:r>
              <w:rPr>
                <w:rFonts w:ascii="Arial" w:eastAsiaTheme="minorEastAsia" w:hAnsi="Arial" w:cs="Arial" w:hint="eastAsia"/>
                <w:b/>
                <w:szCs w:val="21"/>
              </w:rPr>
              <w:t>2016</w:t>
            </w:r>
            <w:r>
              <w:rPr>
                <w:rFonts w:ascii="Arial" w:eastAsiaTheme="minorEastAsia" w:hAnsi="Arial" w:cs="Arial" w:hint="eastAsia"/>
                <w:b/>
                <w:szCs w:val="21"/>
              </w:rPr>
              <w:t>年</w:t>
            </w:r>
            <w:r w:rsidRPr="008C1991">
              <w:rPr>
                <w:rFonts w:ascii="Arial" w:eastAsiaTheme="minorEastAsia" w:hAnsi="Arial" w:cs="Arial"/>
                <w:b/>
                <w:szCs w:val="21"/>
              </w:rPr>
              <w:t>另外三家创业板募集资金量较大的企业</w:t>
            </w:r>
            <w:r w:rsidRPr="008C1991">
              <w:rPr>
                <w:rFonts w:ascii="Arial" w:eastAsiaTheme="minorEastAsia" w:hAnsi="Arial" w:cs="Arial" w:hint="eastAsia"/>
                <w:b/>
                <w:szCs w:val="21"/>
              </w:rPr>
              <w:t>乐视网、蓝思科技和东方财富</w:t>
            </w:r>
            <w:r w:rsidRPr="008C1991">
              <w:rPr>
                <w:rFonts w:ascii="Arial" w:eastAsiaTheme="minorEastAsia" w:hAnsi="Arial" w:cs="Arial"/>
                <w:b/>
                <w:szCs w:val="21"/>
              </w:rPr>
              <w:t>相比</w:t>
            </w:r>
            <w:r w:rsidRPr="008C1991">
              <w:rPr>
                <w:rFonts w:ascii="Arial" w:eastAsiaTheme="minorEastAsia" w:hAnsi="Arial" w:cs="Arial" w:hint="eastAsia"/>
                <w:b/>
                <w:szCs w:val="21"/>
              </w:rPr>
              <w:t>，</w:t>
            </w:r>
            <w:r w:rsidRPr="008C1991">
              <w:rPr>
                <w:rFonts w:ascii="Arial" w:eastAsiaTheme="minorEastAsia" w:hAnsi="Arial" w:cs="Arial"/>
                <w:b/>
                <w:szCs w:val="21"/>
              </w:rPr>
              <w:t>大富科技的募集资金量相当</w:t>
            </w:r>
            <w:r w:rsidRPr="008C1991">
              <w:rPr>
                <w:rFonts w:ascii="Arial" w:eastAsiaTheme="minorEastAsia" w:hAnsi="Arial" w:cs="Arial" w:hint="eastAsia"/>
                <w:b/>
                <w:szCs w:val="21"/>
              </w:rPr>
              <w:t>，</w:t>
            </w:r>
            <w:r w:rsidRPr="008C1991">
              <w:rPr>
                <w:rFonts w:ascii="Arial" w:eastAsiaTheme="minorEastAsia" w:hAnsi="Arial" w:cs="Arial"/>
                <w:b/>
                <w:szCs w:val="21"/>
              </w:rPr>
              <w:t>但市值远低于这几家公司</w:t>
            </w:r>
            <w:r w:rsidRPr="008C1991">
              <w:rPr>
                <w:rFonts w:ascii="Arial" w:eastAsiaTheme="minorEastAsia" w:hAnsi="Arial" w:cs="Arial" w:hint="eastAsia"/>
                <w:b/>
                <w:szCs w:val="21"/>
              </w:rPr>
              <w:t>。</w:t>
            </w:r>
            <w:r w:rsidRPr="008C1991">
              <w:rPr>
                <w:rFonts w:ascii="Arial" w:eastAsiaTheme="minorEastAsia" w:hAnsi="Arial" w:cs="Arial"/>
                <w:b/>
                <w:szCs w:val="21"/>
              </w:rPr>
              <w:t>对照各家募集资金量与市值的比例</w:t>
            </w:r>
            <w:r>
              <w:rPr>
                <w:rFonts w:ascii="Arial" w:eastAsiaTheme="minorEastAsia" w:hAnsi="Arial" w:cs="Arial" w:hint="eastAsia"/>
                <w:b/>
                <w:szCs w:val="21"/>
              </w:rPr>
              <w:t>，乐视网、蓝思科技和东方财富都</w:t>
            </w:r>
            <w:r w:rsidRPr="008C1991">
              <w:rPr>
                <w:rFonts w:ascii="Arial" w:eastAsiaTheme="minorEastAsia" w:hAnsi="Arial" w:cs="Arial" w:hint="eastAsia"/>
                <w:b/>
                <w:szCs w:val="21"/>
              </w:rPr>
              <w:t>在</w:t>
            </w:r>
            <w:r w:rsidRPr="008C1991">
              <w:rPr>
                <w:rFonts w:ascii="Arial" w:eastAsiaTheme="minorEastAsia" w:hAnsi="Arial" w:cs="Arial" w:hint="eastAsia"/>
                <w:b/>
                <w:szCs w:val="21"/>
              </w:rPr>
              <w:t>5%</w:t>
            </w:r>
            <w:r w:rsidRPr="008C1991">
              <w:rPr>
                <w:rFonts w:ascii="Arial" w:eastAsiaTheme="minorEastAsia" w:hAnsi="Arial" w:cs="Arial" w:hint="eastAsia"/>
                <w:b/>
                <w:szCs w:val="21"/>
              </w:rPr>
              <w:t>左右，而大富科技该项指标达到近</w:t>
            </w:r>
            <w:r w:rsidRPr="008C1991">
              <w:rPr>
                <w:rFonts w:ascii="Arial" w:eastAsiaTheme="minorEastAsia" w:hAnsi="Arial" w:cs="Arial" w:hint="eastAsia"/>
                <w:b/>
                <w:szCs w:val="21"/>
              </w:rPr>
              <w:t>18%</w:t>
            </w:r>
            <w:r w:rsidRPr="008C1991">
              <w:rPr>
                <w:rFonts w:ascii="Arial" w:eastAsiaTheme="minorEastAsia" w:hAnsi="Arial" w:cs="Arial" w:hint="eastAsia"/>
                <w:b/>
                <w:szCs w:val="21"/>
              </w:rPr>
              <w:t>，创下新高。</w:t>
            </w:r>
            <w:r>
              <w:rPr>
                <w:rFonts w:ascii="Arial" w:eastAsiaTheme="minorEastAsia" w:hAnsi="Arial" w:cs="Arial" w:hint="eastAsia"/>
                <w:b/>
                <w:szCs w:val="21"/>
              </w:rPr>
              <w:t>充分体现了资本市场、投资人对于公司募投项目方向以及未来成长性的认可。</w:t>
            </w:r>
          </w:p>
          <w:p w:rsidR="00336080" w:rsidRPr="005A0828" w:rsidRDefault="00336080" w:rsidP="000219D2">
            <w:pPr>
              <w:spacing w:afterLines="50"/>
              <w:rPr>
                <w:b/>
              </w:rPr>
            </w:pPr>
            <w:r>
              <w:rPr>
                <w:b/>
              </w:rPr>
              <w:t>3.</w:t>
            </w:r>
            <w:r w:rsidRPr="00CB6B74">
              <w:rPr>
                <w:rFonts w:hint="eastAsia"/>
                <w:b/>
              </w:rPr>
              <w:t>总资产、每股净资产大幅增加</w:t>
            </w:r>
            <w:r>
              <w:rPr>
                <w:rFonts w:hint="eastAsia"/>
                <w:b/>
              </w:rPr>
              <w:t>——公司</w:t>
            </w:r>
            <w:r w:rsidRPr="00CB6B74">
              <w:rPr>
                <w:rFonts w:hint="eastAsia"/>
                <w:b/>
              </w:rPr>
              <w:t>抗风险能力增强</w:t>
            </w:r>
          </w:p>
          <w:p w:rsidR="00336080" w:rsidRPr="00CB6B74" w:rsidRDefault="00336080" w:rsidP="000219D2">
            <w:pPr>
              <w:spacing w:afterLines="50"/>
              <w:ind w:firstLineChars="200" w:firstLine="420"/>
              <w:rPr>
                <w:rFonts w:ascii="Arial" w:eastAsiaTheme="minorEastAsia" w:hAnsi="Arial" w:cs="Arial"/>
                <w:szCs w:val="21"/>
              </w:rPr>
            </w:pPr>
            <w:r w:rsidRPr="00CB6B74">
              <w:rPr>
                <w:rFonts w:ascii="Arial" w:eastAsiaTheme="minorEastAsia" w:hAnsi="Arial" w:cs="Arial" w:hint="eastAsia"/>
                <w:szCs w:val="21"/>
              </w:rPr>
              <w:t>以公司截至</w:t>
            </w:r>
            <w:r w:rsidRPr="00CB6B74">
              <w:rPr>
                <w:rFonts w:ascii="Arial" w:eastAsiaTheme="minorEastAsia" w:hAnsi="Arial" w:cs="Arial" w:hint="eastAsia"/>
                <w:szCs w:val="21"/>
              </w:rPr>
              <w:t>2015</w:t>
            </w:r>
            <w:r w:rsidRPr="00CB6B74">
              <w:rPr>
                <w:rFonts w:ascii="Arial" w:eastAsiaTheme="minorEastAsia" w:hAnsi="Arial" w:cs="Arial" w:hint="eastAsia"/>
                <w:szCs w:val="21"/>
              </w:rPr>
              <w:t>年</w:t>
            </w:r>
            <w:r w:rsidRPr="00CB6B74">
              <w:rPr>
                <w:rFonts w:ascii="Arial" w:eastAsiaTheme="minorEastAsia" w:hAnsi="Arial" w:cs="Arial" w:hint="eastAsia"/>
                <w:szCs w:val="21"/>
              </w:rPr>
              <w:t>12</w:t>
            </w:r>
            <w:r w:rsidRPr="00CB6B74">
              <w:rPr>
                <w:rFonts w:ascii="Arial" w:eastAsiaTheme="minorEastAsia" w:hAnsi="Arial" w:cs="Arial" w:hint="eastAsia"/>
                <w:szCs w:val="21"/>
              </w:rPr>
              <w:t>月</w:t>
            </w:r>
            <w:r w:rsidRPr="00CB6B74">
              <w:rPr>
                <w:rFonts w:ascii="Arial" w:eastAsiaTheme="minorEastAsia" w:hAnsi="Arial" w:cs="Arial" w:hint="eastAsia"/>
                <w:szCs w:val="21"/>
              </w:rPr>
              <w:t>31</w:t>
            </w:r>
            <w:r w:rsidRPr="00CB6B74">
              <w:rPr>
                <w:rFonts w:ascii="Arial" w:eastAsiaTheme="minorEastAsia" w:hAnsi="Arial" w:cs="Arial" w:hint="eastAsia"/>
                <w:szCs w:val="21"/>
              </w:rPr>
              <w:t>日、</w:t>
            </w:r>
            <w:r w:rsidRPr="00CB6B74">
              <w:rPr>
                <w:rFonts w:ascii="Arial" w:eastAsiaTheme="minorEastAsia" w:hAnsi="Arial" w:cs="Arial" w:hint="eastAsia"/>
                <w:szCs w:val="21"/>
              </w:rPr>
              <w:t>2016</w:t>
            </w:r>
            <w:r w:rsidRPr="00CB6B74">
              <w:rPr>
                <w:rFonts w:ascii="Arial" w:eastAsiaTheme="minorEastAsia" w:hAnsi="Arial" w:cs="Arial" w:hint="eastAsia"/>
                <w:szCs w:val="21"/>
              </w:rPr>
              <w:t>年</w:t>
            </w:r>
            <w:r w:rsidRPr="00CB6B74">
              <w:rPr>
                <w:rFonts w:ascii="Arial" w:eastAsiaTheme="minorEastAsia" w:hAnsi="Arial" w:cs="Arial" w:hint="eastAsia"/>
                <w:szCs w:val="21"/>
              </w:rPr>
              <w:t>6</w:t>
            </w:r>
            <w:r w:rsidRPr="00CB6B74">
              <w:rPr>
                <w:rFonts w:ascii="Arial" w:eastAsiaTheme="minorEastAsia" w:hAnsi="Arial" w:cs="Arial" w:hint="eastAsia"/>
                <w:szCs w:val="21"/>
              </w:rPr>
              <w:t>月</w:t>
            </w:r>
            <w:r w:rsidRPr="00CB6B74">
              <w:rPr>
                <w:rFonts w:ascii="Arial" w:eastAsiaTheme="minorEastAsia" w:hAnsi="Arial" w:cs="Arial" w:hint="eastAsia"/>
                <w:szCs w:val="21"/>
              </w:rPr>
              <w:t>30</w:t>
            </w:r>
            <w:r w:rsidRPr="00CB6B74">
              <w:rPr>
                <w:rFonts w:ascii="Arial" w:eastAsiaTheme="minorEastAsia" w:hAnsi="Arial" w:cs="Arial" w:hint="eastAsia"/>
                <w:szCs w:val="21"/>
              </w:rPr>
              <w:t>日的归属于母公司所有者权益为基准，</w:t>
            </w:r>
            <w:r w:rsidRPr="00CB6B74">
              <w:rPr>
                <w:rFonts w:ascii="Arial" w:eastAsiaTheme="minorEastAsia" w:hAnsi="Arial" w:cs="Arial" w:hint="eastAsia"/>
                <w:szCs w:val="21"/>
              </w:rPr>
              <w:lastRenderedPageBreak/>
              <w:t>并考虑本次发行新增净资产，本次发行前后公司每股净资产对比情况如下：</w:t>
            </w:r>
          </w:p>
          <w:tbl>
            <w:tblPr>
              <w:tblW w:w="79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162"/>
              <w:gridCol w:w="2482"/>
              <w:gridCol w:w="1634"/>
              <w:gridCol w:w="1634"/>
            </w:tblGrid>
            <w:tr w:rsidR="00336080" w:rsidRPr="00D16A6F" w:rsidTr="00906096">
              <w:trPr>
                <w:trHeight w:val="340"/>
                <w:jc w:val="center"/>
              </w:trPr>
              <w:tc>
                <w:tcPr>
                  <w:tcW w:w="2162" w:type="dxa"/>
                  <w:shd w:val="clear" w:color="auto" w:fill="auto"/>
                  <w:noWrap/>
                  <w:vAlign w:val="center"/>
                  <w:hideMark/>
                </w:tcPr>
                <w:p w:rsidR="00336080" w:rsidRPr="00D16A6F" w:rsidRDefault="00336080" w:rsidP="00906096">
                  <w:pPr>
                    <w:jc w:val="center"/>
                    <w:rPr>
                      <w:b/>
                      <w:color w:val="000000"/>
                      <w:sz w:val="18"/>
                    </w:rPr>
                  </w:pPr>
                  <w:r w:rsidRPr="00D16A6F">
                    <w:rPr>
                      <w:b/>
                      <w:color w:val="000000"/>
                      <w:sz w:val="18"/>
                    </w:rPr>
                    <w:t>项目</w:t>
                  </w:r>
                </w:p>
              </w:tc>
              <w:tc>
                <w:tcPr>
                  <w:tcW w:w="0" w:type="auto"/>
                  <w:shd w:val="clear" w:color="auto" w:fill="auto"/>
                  <w:noWrap/>
                  <w:vAlign w:val="center"/>
                  <w:hideMark/>
                </w:tcPr>
                <w:p w:rsidR="00336080" w:rsidRPr="00D16A6F" w:rsidRDefault="00336080" w:rsidP="00906096">
                  <w:pPr>
                    <w:jc w:val="center"/>
                    <w:rPr>
                      <w:b/>
                      <w:color w:val="000000"/>
                      <w:sz w:val="18"/>
                    </w:rPr>
                  </w:pPr>
                  <w:r w:rsidRPr="00D16A6F">
                    <w:rPr>
                      <w:b/>
                      <w:color w:val="000000"/>
                      <w:sz w:val="18"/>
                    </w:rPr>
                    <w:t>期间</w:t>
                  </w:r>
                </w:p>
              </w:tc>
              <w:tc>
                <w:tcPr>
                  <w:tcW w:w="0" w:type="auto"/>
                  <w:shd w:val="clear" w:color="auto" w:fill="auto"/>
                  <w:noWrap/>
                  <w:vAlign w:val="center"/>
                  <w:hideMark/>
                </w:tcPr>
                <w:p w:rsidR="00336080" w:rsidRPr="00D16A6F" w:rsidRDefault="00336080" w:rsidP="00906096">
                  <w:pPr>
                    <w:jc w:val="center"/>
                    <w:rPr>
                      <w:b/>
                      <w:color w:val="000000"/>
                      <w:sz w:val="18"/>
                    </w:rPr>
                  </w:pPr>
                  <w:r w:rsidRPr="00D16A6F">
                    <w:rPr>
                      <w:b/>
                      <w:color w:val="000000"/>
                      <w:sz w:val="18"/>
                    </w:rPr>
                    <w:t>本次发行前</w:t>
                  </w:r>
                </w:p>
              </w:tc>
              <w:tc>
                <w:tcPr>
                  <w:tcW w:w="0" w:type="auto"/>
                  <w:shd w:val="clear" w:color="auto" w:fill="auto"/>
                  <w:noWrap/>
                  <w:vAlign w:val="center"/>
                  <w:hideMark/>
                </w:tcPr>
                <w:p w:rsidR="00336080" w:rsidRPr="00D16A6F" w:rsidRDefault="00336080" w:rsidP="00906096">
                  <w:pPr>
                    <w:jc w:val="center"/>
                    <w:rPr>
                      <w:b/>
                      <w:color w:val="000000"/>
                      <w:sz w:val="18"/>
                    </w:rPr>
                  </w:pPr>
                  <w:r w:rsidRPr="00D16A6F">
                    <w:rPr>
                      <w:b/>
                      <w:color w:val="000000"/>
                      <w:sz w:val="18"/>
                    </w:rPr>
                    <w:t>本次发行后</w:t>
                  </w:r>
                </w:p>
              </w:tc>
            </w:tr>
            <w:tr w:rsidR="00336080" w:rsidRPr="00D16A6F" w:rsidTr="00906096">
              <w:trPr>
                <w:trHeight w:val="340"/>
                <w:jc w:val="center"/>
              </w:trPr>
              <w:tc>
                <w:tcPr>
                  <w:tcW w:w="2162" w:type="dxa"/>
                  <w:vMerge w:val="restart"/>
                  <w:shd w:val="clear" w:color="auto" w:fill="auto"/>
                  <w:noWrap/>
                  <w:vAlign w:val="center"/>
                  <w:hideMark/>
                </w:tcPr>
                <w:p w:rsidR="00336080" w:rsidRPr="00D16A6F" w:rsidRDefault="00336080" w:rsidP="00906096">
                  <w:pPr>
                    <w:jc w:val="center"/>
                    <w:rPr>
                      <w:color w:val="000000"/>
                      <w:sz w:val="18"/>
                    </w:rPr>
                  </w:pPr>
                  <w:r w:rsidRPr="00D16A6F">
                    <w:rPr>
                      <w:color w:val="000000"/>
                      <w:sz w:val="18"/>
                    </w:rPr>
                    <w:t>每股净资产（元</w:t>
                  </w:r>
                  <w:r w:rsidRPr="00D16A6F">
                    <w:rPr>
                      <w:color w:val="000000"/>
                      <w:sz w:val="18"/>
                    </w:rPr>
                    <w:t>/</w:t>
                  </w:r>
                  <w:r w:rsidRPr="00D16A6F">
                    <w:rPr>
                      <w:color w:val="000000"/>
                      <w:sz w:val="18"/>
                    </w:rPr>
                    <w:t>股）</w:t>
                  </w:r>
                </w:p>
              </w:tc>
              <w:tc>
                <w:tcPr>
                  <w:tcW w:w="0" w:type="auto"/>
                  <w:shd w:val="clear" w:color="auto" w:fill="auto"/>
                  <w:noWrap/>
                  <w:vAlign w:val="center"/>
                  <w:hideMark/>
                </w:tcPr>
                <w:p w:rsidR="00336080" w:rsidRPr="00D16A6F" w:rsidRDefault="00336080" w:rsidP="00906096">
                  <w:pPr>
                    <w:jc w:val="center"/>
                    <w:rPr>
                      <w:color w:val="000000"/>
                      <w:sz w:val="18"/>
                    </w:rPr>
                  </w:pPr>
                  <w:r w:rsidRPr="00D16A6F">
                    <w:rPr>
                      <w:color w:val="000000"/>
                      <w:sz w:val="18"/>
                    </w:rPr>
                    <w:t>2015</w:t>
                  </w:r>
                  <w:r w:rsidRPr="00D16A6F">
                    <w:rPr>
                      <w:color w:val="000000"/>
                      <w:sz w:val="18"/>
                    </w:rPr>
                    <w:t>年</w:t>
                  </w:r>
                  <w:r w:rsidRPr="00D16A6F">
                    <w:rPr>
                      <w:color w:val="000000"/>
                      <w:sz w:val="18"/>
                    </w:rPr>
                    <w:t>12</w:t>
                  </w:r>
                  <w:r w:rsidRPr="00D16A6F">
                    <w:rPr>
                      <w:color w:val="000000"/>
                      <w:sz w:val="18"/>
                    </w:rPr>
                    <w:t>月</w:t>
                  </w:r>
                  <w:r w:rsidRPr="00D16A6F">
                    <w:rPr>
                      <w:color w:val="000000"/>
                      <w:sz w:val="18"/>
                    </w:rPr>
                    <w:t>31</w:t>
                  </w:r>
                  <w:r w:rsidRPr="00D16A6F">
                    <w:rPr>
                      <w:color w:val="000000"/>
                      <w:sz w:val="18"/>
                    </w:rPr>
                    <w:t>日</w:t>
                  </w:r>
                </w:p>
              </w:tc>
              <w:tc>
                <w:tcPr>
                  <w:tcW w:w="0" w:type="auto"/>
                  <w:shd w:val="clear" w:color="auto" w:fill="auto"/>
                  <w:noWrap/>
                  <w:vAlign w:val="center"/>
                  <w:hideMark/>
                </w:tcPr>
                <w:p w:rsidR="00336080" w:rsidRPr="00D16A6F" w:rsidRDefault="00336080" w:rsidP="00906096">
                  <w:pPr>
                    <w:jc w:val="right"/>
                    <w:rPr>
                      <w:color w:val="000000"/>
                      <w:sz w:val="18"/>
                    </w:rPr>
                  </w:pPr>
                  <w:r w:rsidRPr="00D16A6F">
                    <w:rPr>
                      <w:color w:val="000000"/>
                      <w:sz w:val="18"/>
                    </w:rPr>
                    <w:t>3.8593</w:t>
                  </w:r>
                </w:p>
              </w:tc>
              <w:tc>
                <w:tcPr>
                  <w:tcW w:w="0" w:type="auto"/>
                  <w:shd w:val="clear" w:color="auto" w:fill="auto"/>
                  <w:noWrap/>
                  <w:vAlign w:val="center"/>
                  <w:hideMark/>
                </w:tcPr>
                <w:p w:rsidR="00336080" w:rsidRPr="00D16A6F" w:rsidRDefault="00336080" w:rsidP="00906096">
                  <w:pPr>
                    <w:jc w:val="right"/>
                    <w:rPr>
                      <w:color w:val="000000"/>
                      <w:sz w:val="18"/>
                    </w:rPr>
                  </w:pPr>
                  <w:r w:rsidRPr="00D16A6F">
                    <w:rPr>
                      <w:color w:val="000000"/>
                      <w:sz w:val="18"/>
                    </w:rPr>
                    <w:t>7.7</w:t>
                  </w:r>
                  <w:r>
                    <w:rPr>
                      <w:color w:val="000000"/>
                      <w:sz w:val="18"/>
                    </w:rPr>
                    <w:t>779</w:t>
                  </w:r>
                </w:p>
              </w:tc>
            </w:tr>
            <w:tr w:rsidR="00336080" w:rsidRPr="00D16A6F" w:rsidTr="00906096">
              <w:trPr>
                <w:trHeight w:val="340"/>
                <w:jc w:val="center"/>
              </w:trPr>
              <w:tc>
                <w:tcPr>
                  <w:tcW w:w="2162" w:type="dxa"/>
                  <w:vMerge/>
                  <w:shd w:val="clear" w:color="auto" w:fill="auto"/>
                  <w:vAlign w:val="center"/>
                  <w:hideMark/>
                </w:tcPr>
                <w:p w:rsidR="00336080" w:rsidRPr="00D16A6F" w:rsidRDefault="00336080" w:rsidP="00906096">
                  <w:pPr>
                    <w:rPr>
                      <w:color w:val="000000"/>
                      <w:sz w:val="18"/>
                    </w:rPr>
                  </w:pPr>
                </w:p>
              </w:tc>
              <w:tc>
                <w:tcPr>
                  <w:tcW w:w="0" w:type="auto"/>
                  <w:shd w:val="clear" w:color="auto" w:fill="auto"/>
                  <w:noWrap/>
                  <w:vAlign w:val="center"/>
                  <w:hideMark/>
                </w:tcPr>
                <w:p w:rsidR="00336080" w:rsidRPr="00D16A6F" w:rsidRDefault="00336080" w:rsidP="00906096">
                  <w:pPr>
                    <w:jc w:val="center"/>
                    <w:rPr>
                      <w:color w:val="000000"/>
                      <w:sz w:val="18"/>
                    </w:rPr>
                  </w:pPr>
                  <w:r w:rsidRPr="00D16A6F">
                    <w:rPr>
                      <w:color w:val="000000"/>
                      <w:sz w:val="18"/>
                    </w:rPr>
                    <w:t>2016</w:t>
                  </w:r>
                  <w:r w:rsidRPr="00D16A6F">
                    <w:rPr>
                      <w:color w:val="000000"/>
                      <w:sz w:val="18"/>
                    </w:rPr>
                    <w:t>年</w:t>
                  </w:r>
                  <w:r w:rsidRPr="00D16A6F">
                    <w:rPr>
                      <w:color w:val="000000"/>
                      <w:sz w:val="18"/>
                    </w:rPr>
                    <w:t>6</w:t>
                  </w:r>
                  <w:r w:rsidRPr="00D16A6F">
                    <w:rPr>
                      <w:color w:val="000000"/>
                      <w:sz w:val="18"/>
                    </w:rPr>
                    <w:t>月</w:t>
                  </w:r>
                  <w:r w:rsidRPr="00D16A6F">
                    <w:rPr>
                      <w:color w:val="000000"/>
                      <w:sz w:val="18"/>
                    </w:rPr>
                    <w:t>30</w:t>
                  </w:r>
                  <w:r w:rsidRPr="00D16A6F">
                    <w:rPr>
                      <w:color w:val="000000"/>
                      <w:sz w:val="18"/>
                    </w:rPr>
                    <w:t>日</w:t>
                  </w:r>
                </w:p>
              </w:tc>
              <w:tc>
                <w:tcPr>
                  <w:tcW w:w="0" w:type="auto"/>
                  <w:shd w:val="clear" w:color="auto" w:fill="auto"/>
                  <w:noWrap/>
                  <w:vAlign w:val="center"/>
                  <w:hideMark/>
                </w:tcPr>
                <w:p w:rsidR="00336080" w:rsidRPr="00D16A6F" w:rsidRDefault="00336080" w:rsidP="00906096">
                  <w:pPr>
                    <w:jc w:val="right"/>
                    <w:rPr>
                      <w:color w:val="000000"/>
                      <w:sz w:val="18"/>
                    </w:rPr>
                  </w:pPr>
                  <w:r w:rsidRPr="00D16A6F">
                    <w:rPr>
                      <w:color w:val="000000"/>
                      <w:sz w:val="18"/>
                    </w:rPr>
                    <w:t>3.7314</w:t>
                  </w:r>
                </w:p>
              </w:tc>
              <w:tc>
                <w:tcPr>
                  <w:tcW w:w="0" w:type="auto"/>
                  <w:shd w:val="clear" w:color="auto" w:fill="auto"/>
                  <w:noWrap/>
                  <w:vAlign w:val="center"/>
                  <w:hideMark/>
                </w:tcPr>
                <w:p w:rsidR="00336080" w:rsidRPr="00D16A6F" w:rsidRDefault="00336080" w:rsidP="00906096">
                  <w:pPr>
                    <w:jc w:val="right"/>
                    <w:rPr>
                      <w:color w:val="000000"/>
                      <w:sz w:val="18"/>
                    </w:rPr>
                  </w:pPr>
                  <w:r w:rsidRPr="00D16A6F">
                    <w:rPr>
                      <w:color w:val="000000"/>
                      <w:sz w:val="18"/>
                    </w:rPr>
                    <w:t>7.6</w:t>
                  </w:r>
                  <w:r>
                    <w:rPr>
                      <w:color w:val="000000"/>
                      <w:sz w:val="18"/>
                    </w:rPr>
                    <w:t>699</w:t>
                  </w:r>
                </w:p>
              </w:tc>
            </w:tr>
          </w:tbl>
          <w:p w:rsidR="00336080" w:rsidRPr="00E93DE9" w:rsidRDefault="00336080" w:rsidP="0094254E">
            <w:pPr>
              <w:spacing w:afterLines="50"/>
              <w:ind w:firstLineChars="200" w:firstLine="422"/>
              <w:rPr>
                <w:rFonts w:ascii="Arial" w:eastAsiaTheme="minorEastAsia" w:hAnsi="Arial" w:cs="Arial"/>
                <w:b/>
                <w:szCs w:val="21"/>
              </w:rPr>
            </w:pPr>
            <w:r w:rsidRPr="00E93DE9">
              <w:rPr>
                <w:rFonts w:ascii="Arial" w:eastAsiaTheme="minorEastAsia" w:hAnsi="Arial" w:cs="Arial" w:hint="eastAsia"/>
                <w:b/>
                <w:szCs w:val="21"/>
              </w:rPr>
              <w:t>本次发行完成后，将有效提升每股净资产收益指标，按照</w:t>
            </w:r>
            <w:r w:rsidRPr="00E93DE9">
              <w:rPr>
                <w:rFonts w:ascii="Arial" w:eastAsiaTheme="minorEastAsia" w:hAnsi="Arial" w:cs="Arial" w:hint="eastAsia"/>
                <w:b/>
                <w:szCs w:val="21"/>
              </w:rPr>
              <w:t>2016</w:t>
            </w:r>
            <w:r w:rsidRPr="00E93DE9">
              <w:rPr>
                <w:rFonts w:ascii="Arial" w:eastAsiaTheme="minorEastAsia" w:hAnsi="Arial" w:cs="Arial" w:hint="eastAsia"/>
                <w:b/>
                <w:szCs w:val="21"/>
              </w:rPr>
              <w:t>年</w:t>
            </w:r>
            <w:r w:rsidRPr="00E93DE9">
              <w:rPr>
                <w:rFonts w:ascii="Arial" w:eastAsiaTheme="minorEastAsia" w:hAnsi="Arial" w:cs="Arial" w:hint="eastAsia"/>
                <w:b/>
                <w:szCs w:val="21"/>
              </w:rPr>
              <w:t>6</w:t>
            </w:r>
            <w:r w:rsidRPr="00E93DE9">
              <w:rPr>
                <w:rFonts w:ascii="Arial" w:eastAsiaTheme="minorEastAsia" w:hAnsi="Arial" w:cs="Arial" w:hint="eastAsia"/>
                <w:b/>
                <w:szCs w:val="21"/>
              </w:rPr>
              <w:t>月</w:t>
            </w:r>
            <w:r w:rsidRPr="00E93DE9">
              <w:rPr>
                <w:rFonts w:ascii="Arial" w:eastAsiaTheme="minorEastAsia" w:hAnsi="Arial" w:cs="Arial" w:hint="eastAsia"/>
                <w:b/>
                <w:szCs w:val="21"/>
              </w:rPr>
              <w:t>30</w:t>
            </w:r>
            <w:r w:rsidRPr="00E93DE9">
              <w:rPr>
                <w:rFonts w:ascii="Arial" w:eastAsiaTheme="minorEastAsia" w:hAnsi="Arial" w:cs="Arial" w:hint="eastAsia"/>
                <w:b/>
                <w:szCs w:val="21"/>
              </w:rPr>
              <w:t>日的数据，增长率高达</w:t>
            </w:r>
            <w:r w:rsidRPr="00E93DE9">
              <w:rPr>
                <w:rFonts w:ascii="Arial" w:eastAsiaTheme="minorEastAsia" w:hAnsi="Arial" w:cs="Arial" w:hint="eastAsia"/>
                <w:b/>
                <w:szCs w:val="21"/>
              </w:rPr>
              <w:t>10</w:t>
            </w:r>
            <w:r>
              <w:rPr>
                <w:rFonts w:ascii="Arial" w:eastAsiaTheme="minorEastAsia" w:hAnsi="Arial" w:cs="Arial"/>
                <w:b/>
                <w:szCs w:val="21"/>
              </w:rPr>
              <w:t>6</w:t>
            </w:r>
            <w:r w:rsidRPr="00E93DE9">
              <w:rPr>
                <w:rFonts w:ascii="Arial" w:eastAsiaTheme="minorEastAsia" w:hAnsi="Arial" w:cs="Arial" w:hint="eastAsia"/>
                <w:b/>
                <w:szCs w:val="21"/>
              </w:rPr>
              <w:t>%</w:t>
            </w:r>
            <w:r w:rsidRPr="00E93DE9">
              <w:rPr>
                <w:rFonts w:ascii="Arial" w:eastAsiaTheme="minorEastAsia" w:hAnsi="Arial" w:cs="Arial" w:hint="eastAsia"/>
                <w:b/>
                <w:szCs w:val="21"/>
              </w:rPr>
              <w:t>。同时，总资产也从</w:t>
            </w:r>
            <w:r w:rsidRPr="00E93DE9">
              <w:rPr>
                <w:rFonts w:ascii="Arial" w:eastAsiaTheme="minorEastAsia" w:hAnsi="Arial" w:cs="Arial" w:hint="eastAsia"/>
                <w:b/>
                <w:szCs w:val="21"/>
              </w:rPr>
              <w:t>45.45</w:t>
            </w:r>
            <w:r>
              <w:rPr>
                <w:rFonts w:ascii="Arial" w:eastAsiaTheme="minorEastAsia" w:hAnsi="Arial" w:cs="Arial" w:hint="eastAsia"/>
                <w:b/>
                <w:szCs w:val="21"/>
              </w:rPr>
              <w:t>亿元大幅增加</w:t>
            </w:r>
            <w:r w:rsidRPr="00E93DE9">
              <w:rPr>
                <w:rFonts w:ascii="Arial" w:eastAsiaTheme="minorEastAsia" w:hAnsi="Arial" w:cs="Arial" w:hint="eastAsia"/>
                <w:b/>
                <w:szCs w:val="21"/>
              </w:rPr>
              <w:t>76%</w:t>
            </w:r>
            <w:r w:rsidRPr="00E93DE9">
              <w:rPr>
                <w:rFonts w:ascii="Arial" w:eastAsiaTheme="minorEastAsia" w:hAnsi="Arial" w:cs="Arial" w:hint="eastAsia"/>
                <w:b/>
                <w:szCs w:val="21"/>
              </w:rPr>
              <w:t>至</w:t>
            </w:r>
            <w:r w:rsidRPr="00E93DE9">
              <w:rPr>
                <w:rFonts w:ascii="Arial" w:eastAsiaTheme="minorEastAsia" w:hAnsi="Arial" w:cs="Arial" w:hint="eastAsia"/>
                <w:b/>
                <w:szCs w:val="21"/>
              </w:rPr>
              <w:t>79.95</w:t>
            </w:r>
            <w:r w:rsidRPr="00E93DE9">
              <w:rPr>
                <w:rFonts w:ascii="Arial" w:eastAsiaTheme="minorEastAsia" w:hAnsi="Arial" w:cs="Arial" w:hint="eastAsia"/>
                <w:b/>
                <w:szCs w:val="21"/>
              </w:rPr>
              <w:t>亿元，将有效提升公司的抗风险能力。</w:t>
            </w:r>
          </w:p>
          <w:p w:rsidR="00336080" w:rsidRDefault="00336080" w:rsidP="000219D2">
            <w:pPr>
              <w:spacing w:afterLines="50"/>
              <w:rPr>
                <w:rFonts w:ascii="Arial" w:eastAsiaTheme="minorEastAsia" w:hAnsi="Arial" w:cs="Arial"/>
                <w:szCs w:val="21"/>
              </w:rPr>
            </w:pPr>
            <w:r>
              <w:rPr>
                <w:b/>
              </w:rPr>
              <w:t>4</w:t>
            </w:r>
            <w:r w:rsidRPr="005A0828">
              <w:rPr>
                <w:b/>
              </w:rPr>
              <w:t>.</w:t>
            </w:r>
            <w:r w:rsidRPr="008D6B75">
              <w:rPr>
                <w:rFonts w:hint="eastAsia"/>
                <w:b/>
              </w:rPr>
              <w:t>负债率、财务费用大幅下降</w:t>
            </w:r>
            <w:r>
              <w:rPr>
                <w:rFonts w:hint="eastAsia"/>
                <w:b/>
              </w:rPr>
              <w:t>——财务数据有效改善</w:t>
            </w:r>
          </w:p>
          <w:p w:rsidR="00336080" w:rsidRPr="008D6B75" w:rsidRDefault="00336080" w:rsidP="000219D2">
            <w:pPr>
              <w:spacing w:afterLines="50"/>
              <w:ind w:firstLineChars="200" w:firstLine="420"/>
              <w:rPr>
                <w:rFonts w:ascii="Arial" w:eastAsiaTheme="minorEastAsia" w:hAnsi="Arial" w:cs="Arial"/>
                <w:szCs w:val="21"/>
              </w:rPr>
            </w:pPr>
            <w:r w:rsidRPr="008D6B75">
              <w:rPr>
                <w:rFonts w:ascii="Arial" w:eastAsiaTheme="minorEastAsia" w:hAnsi="Arial" w:cs="Arial"/>
                <w:szCs w:val="21"/>
              </w:rPr>
              <w:t>本次非公开发行完成后，一方面公司净资产大幅增加，资产负债率将随之下降；另一方面，募集资金到位后，以货币资金的形式充实公司营运资本，使得流动资产大幅增长，而且募集资金中的</w:t>
            </w:r>
            <w:r w:rsidRPr="008D6B75">
              <w:rPr>
                <w:rFonts w:ascii="Arial" w:eastAsiaTheme="minorEastAsia" w:hAnsi="Arial" w:cs="Arial"/>
                <w:szCs w:val="21"/>
              </w:rPr>
              <w:t>5</w:t>
            </w:r>
            <w:r w:rsidRPr="008D6B75">
              <w:rPr>
                <w:rFonts w:ascii="Arial" w:eastAsiaTheme="minorEastAsia" w:hAnsi="Arial" w:cs="Arial"/>
                <w:szCs w:val="21"/>
              </w:rPr>
              <w:t>亿元用于补充流动资金，将进一步增强公司流动性，通过置换前期银行贷款，或减少有息负债规模，公司流动比例及速动比率将有所上升。具体分析如下：</w:t>
            </w:r>
          </w:p>
          <w:p w:rsidR="00336080" w:rsidRPr="008D6B75" w:rsidRDefault="00336080" w:rsidP="000219D2">
            <w:pPr>
              <w:spacing w:afterLines="50"/>
              <w:ind w:firstLineChars="200" w:firstLine="420"/>
              <w:rPr>
                <w:rFonts w:ascii="Arial" w:eastAsiaTheme="minorEastAsia" w:hAnsi="Arial" w:cs="Arial"/>
                <w:szCs w:val="21"/>
              </w:rPr>
            </w:pPr>
            <w:r w:rsidRPr="008D6B75">
              <w:rPr>
                <w:rFonts w:ascii="Arial" w:eastAsiaTheme="minorEastAsia" w:hAnsi="Arial" w:cs="Arial"/>
                <w:szCs w:val="21"/>
              </w:rPr>
              <w:t>以公司截至</w:t>
            </w:r>
            <w:r w:rsidRPr="008D6B75">
              <w:rPr>
                <w:rFonts w:ascii="Arial" w:eastAsiaTheme="minorEastAsia" w:hAnsi="Arial" w:cs="Arial"/>
                <w:szCs w:val="21"/>
              </w:rPr>
              <w:t>2016</w:t>
            </w:r>
            <w:r w:rsidRPr="008D6B75">
              <w:rPr>
                <w:rFonts w:ascii="Arial" w:eastAsiaTheme="minorEastAsia" w:hAnsi="Arial" w:cs="Arial"/>
                <w:szCs w:val="21"/>
              </w:rPr>
              <w:t>年</w:t>
            </w:r>
            <w:r w:rsidRPr="008D6B75">
              <w:rPr>
                <w:rFonts w:ascii="Arial" w:eastAsiaTheme="minorEastAsia" w:hAnsi="Arial" w:cs="Arial"/>
                <w:szCs w:val="21"/>
              </w:rPr>
              <w:t>6</w:t>
            </w:r>
            <w:r w:rsidRPr="008D6B75">
              <w:rPr>
                <w:rFonts w:ascii="Arial" w:eastAsiaTheme="minorEastAsia" w:hAnsi="Arial" w:cs="Arial"/>
                <w:szCs w:val="21"/>
              </w:rPr>
              <w:t>月</w:t>
            </w:r>
            <w:r w:rsidRPr="008D6B75">
              <w:rPr>
                <w:rFonts w:ascii="Arial" w:eastAsiaTheme="minorEastAsia" w:hAnsi="Arial" w:cs="Arial"/>
                <w:szCs w:val="21"/>
              </w:rPr>
              <w:t>30</w:t>
            </w:r>
            <w:r w:rsidRPr="008D6B75">
              <w:rPr>
                <w:rFonts w:ascii="Arial" w:eastAsiaTheme="minorEastAsia" w:hAnsi="Arial" w:cs="Arial"/>
                <w:szCs w:val="21"/>
              </w:rPr>
              <w:t>日的合并口径资产和负债情况为基准，假设本次非公开发行</w:t>
            </w:r>
            <w:r w:rsidRPr="008D6B75">
              <w:rPr>
                <w:rFonts w:ascii="Arial" w:eastAsiaTheme="minorEastAsia" w:hAnsi="Arial" w:cs="Arial"/>
                <w:szCs w:val="21"/>
              </w:rPr>
              <w:t>1.2</w:t>
            </w:r>
            <w:r w:rsidRPr="008D6B75">
              <w:rPr>
                <w:rFonts w:ascii="Arial" w:eastAsiaTheme="minorEastAsia" w:hAnsi="Arial" w:cs="Arial"/>
                <w:szCs w:val="21"/>
              </w:rPr>
              <w:t>亿股，募集资金净额</w:t>
            </w:r>
            <w:r w:rsidRPr="008D6B75">
              <w:rPr>
                <w:rFonts w:ascii="Arial" w:eastAsiaTheme="minorEastAsia" w:hAnsi="Arial" w:cs="Arial"/>
                <w:szCs w:val="21"/>
              </w:rPr>
              <w:t>34.5</w:t>
            </w:r>
            <w:r w:rsidRPr="008D6B75">
              <w:rPr>
                <w:rFonts w:ascii="Arial" w:eastAsiaTheme="minorEastAsia" w:hAnsi="Arial" w:cs="Arial"/>
                <w:szCs w:val="21"/>
              </w:rPr>
              <w:t>亿元，公司偿债指标变化情况如下：</w:t>
            </w:r>
          </w:p>
          <w:p w:rsidR="00336080" w:rsidRPr="00FC22F9" w:rsidRDefault="00336080" w:rsidP="00336080">
            <w:pPr>
              <w:ind w:firstLineChars="200" w:firstLine="361"/>
              <w:jc w:val="right"/>
              <w:rPr>
                <w:b/>
                <w:sz w:val="18"/>
                <w:szCs w:val="18"/>
              </w:rPr>
            </w:pPr>
            <w:r w:rsidRPr="00FC22F9">
              <w:rPr>
                <w:b/>
                <w:sz w:val="18"/>
                <w:szCs w:val="18"/>
              </w:rPr>
              <w:t>单位：万元</w:t>
            </w:r>
          </w:p>
          <w:tbl>
            <w:tblPr>
              <w:tblW w:w="777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775"/>
              <w:gridCol w:w="1985"/>
              <w:gridCol w:w="1984"/>
              <w:gridCol w:w="2035"/>
            </w:tblGrid>
            <w:tr w:rsidR="00336080" w:rsidRPr="00FC22F9" w:rsidTr="00906096">
              <w:trPr>
                <w:trHeight w:val="340"/>
                <w:jc w:val="center"/>
              </w:trPr>
              <w:tc>
                <w:tcPr>
                  <w:tcW w:w="1775" w:type="dxa"/>
                  <w:vMerge w:val="restart"/>
                  <w:shd w:val="clear" w:color="auto" w:fill="auto"/>
                  <w:noWrap/>
                  <w:vAlign w:val="center"/>
                  <w:hideMark/>
                </w:tcPr>
                <w:p w:rsidR="00336080" w:rsidRPr="00FC22F9" w:rsidRDefault="00336080" w:rsidP="00906096">
                  <w:pPr>
                    <w:jc w:val="center"/>
                    <w:rPr>
                      <w:b/>
                      <w:color w:val="000000"/>
                      <w:sz w:val="18"/>
                    </w:rPr>
                  </w:pPr>
                  <w:r w:rsidRPr="00FC22F9">
                    <w:rPr>
                      <w:b/>
                      <w:color w:val="000000"/>
                      <w:sz w:val="18"/>
                    </w:rPr>
                    <w:t>项目</w:t>
                  </w:r>
                </w:p>
              </w:tc>
              <w:tc>
                <w:tcPr>
                  <w:tcW w:w="1985" w:type="dxa"/>
                  <w:vMerge w:val="restart"/>
                  <w:shd w:val="clear" w:color="auto" w:fill="auto"/>
                  <w:noWrap/>
                  <w:vAlign w:val="center"/>
                  <w:hideMark/>
                </w:tcPr>
                <w:p w:rsidR="00336080" w:rsidRPr="00FC22F9" w:rsidRDefault="00336080" w:rsidP="00906096">
                  <w:pPr>
                    <w:jc w:val="center"/>
                    <w:rPr>
                      <w:b/>
                      <w:color w:val="000000"/>
                      <w:sz w:val="18"/>
                    </w:rPr>
                  </w:pPr>
                  <w:r w:rsidRPr="00FC22F9">
                    <w:rPr>
                      <w:b/>
                      <w:color w:val="000000"/>
                      <w:sz w:val="18"/>
                    </w:rPr>
                    <w:t>本次发行前</w:t>
                  </w:r>
                </w:p>
              </w:tc>
              <w:tc>
                <w:tcPr>
                  <w:tcW w:w="4019" w:type="dxa"/>
                  <w:gridSpan w:val="2"/>
                  <w:shd w:val="clear" w:color="auto" w:fill="auto"/>
                  <w:noWrap/>
                  <w:vAlign w:val="center"/>
                  <w:hideMark/>
                </w:tcPr>
                <w:p w:rsidR="00336080" w:rsidRPr="00FC22F9" w:rsidRDefault="00336080" w:rsidP="00906096">
                  <w:pPr>
                    <w:jc w:val="center"/>
                    <w:rPr>
                      <w:b/>
                      <w:color w:val="000000"/>
                      <w:sz w:val="18"/>
                    </w:rPr>
                  </w:pPr>
                  <w:r w:rsidRPr="00FC22F9">
                    <w:rPr>
                      <w:b/>
                      <w:color w:val="000000"/>
                      <w:sz w:val="18"/>
                    </w:rPr>
                    <w:t>本次发行后</w:t>
                  </w:r>
                </w:p>
              </w:tc>
            </w:tr>
            <w:tr w:rsidR="00336080" w:rsidRPr="00FC22F9" w:rsidTr="00906096">
              <w:trPr>
                <w:trHeight w:val="340"/>
                <w:jc w:val="center"/>
              </w:trPr>
              <w:tc>
                <w:tcPr>
                  <w:tcW w:w="1775" w:type="dxa"/>
                  <w:vMerge/>
                  <w:vAlign w:val="center"/>
                  <w:hideMark/>
                </w:tcPr>
                <w:p w:rsidR="00336080" w:rsidRPr="00FC22F9" w:rsidRDefault="00336080" w:rsidP="00906096">
                  <w:pPr>
                    <w:jc w:val="center"/>
                    <w:rPr>
                      <w:b/>
                      <w:color w:val="000000"/>
                      <w:sz w:val="18"/>
                    </w:rPr>
                  </w:pPr>
                </w:p>
              </w:tc>
              <w:tc>
                <w:tcPr>
                  <w:tcW w:w="1985" w:type="dxa"/>
                  <w:vMerge/>
                  <w:vAlign w:val="center"/>
                  <w:hideMark/>
                </w:tcPr>
                <w:p w:rsidR="00336080" w:rsidRPr="00FC22F9" w:rsidRDefault="00336080" w:rsidP="00906096">
                  <w:pPr>
                    <w:jc w:val="center"/>
                    <w:rPr>
                      <w:b/>
                      <w:color w:val="000000"/>
                      <w:sz w:val="18"/>
                    </w:rPr>
                  </w:pPr>
                </w:p>
              </w:tc>
              <w:tc>
                <w:tcPr>
                  <w:tcW w:w="1984" w:type="dxa"/>
                  <w:shd w:val="clear" w:color="auto" w:fill="auto"/>
                  <w:noWrap/>
                  <w:vAlign w:val="center"/>
                  <w:hideMark/>
                </w:tcPr>
                <w:p w:rsidR="00336080" w:rsidRPr="00FC22F9" w:rsidRDefault="00336080" w:rsidP="00906096">
                  <w:pPr>
                    <w:jc w:val="center"/>
                    <w:rPr>
                      <w:b/>
                      <w:color w:val="000000"/>
                      <w:sz w:val="18"/>
                    </w:rPr>
                  </w:pPr>
                  <w:r w:rsidRPr="00FC22F9">
                    <w:rPr>
                      <w:b/>
                      <w:color w:val="000000"/>
                      <w:sz w:val="18"/>
                    </w:rPr>
                    <w:t>未置换银行债务</w:t>
                  </w:r>
                </w:p>
              </w:tc>
              <w:tc>
                <w:tcPr>
                  <w:tcW w:w="2035" w:type="dxa"/>
                  <w:shd w:val="clear" w:color="auto" w:fill="auto"/>
                  <w:noWrap/>
                  <w:vAlign w:val="center"/>
                  <w:hideMark/>
                </w:tcPr>
                <w:p w:rsidR="00336080" w:rsidRPr="00FC22F9" w:rsidRDefault="00336080" w:rsidP="00906096">
                  <w:pPr>
                    <w:jc w:val="center"/>
                    <w:rPr>
                      <w:b/>
                      <w:color w:val="000000"/>
                      <w:sz w:val="18"/>
                    </w:rPr>
                  </w:pPr>
                  <w:r w:rsidRPr="00FC22F9">
                    <w:rPr>
                      <w:b/>
                      <w:color w:val="000000"/>
                      <w:sz w:val="18"/>
                    </w:rPr>
                    <w:t>补充流动资金置换</w:t>
                  </w:r>
                </w:p>
                <w:p w:rsidR="00336080" w:rsidRPr="00FC22F9" w:rsidRDefault="00336080" w:rsidP="00906096">
                  <w:pPr>
                    <w:jc w:val="center"/>
                    <w:rPr>
                      <w:b/>
                      <w:color w:val="000000"/>
                      <w:sz w:val="18"/>
                    </w:rPr>
                  </w:pPr>
                  <w:r w:rsidRPr="00FC22F9">
                    <w:rPr>
                      <w:b/>
                      <w:color w:val="000000"/>
                      <w:sz w:val="18"/>
                    </w:rPr>
                    <w:t>银行债务</w:t>
                  </w:r>
                </w:p>
              </w:tc>
            </w:tr>
            <w:tr w:rsidR="00336080" w:rsidRPr="00FC22F9" w:rsidTr="00906096">
              <w:trPr>
                <w:trHeight w:val="340"/>
                <w:jc w:val="center"/>
              </w:trPr>
              <w:tc>
                <w:tcPr>
                  <w:tcW w:w="1775" w:type="dxa"/>
                  <w:shd w:val="clear" w:color="auto" w:fill="auto"/>
                  <w:noWrap/>
                  <w:vAlign w:val="center"/>
                  <w:hideMark/>
                </w:tcPr>
                <w:p w:rsidR="00336080" w:rsidRPr="00FC22F9" w:rsidRDefault="00336080" w:rsidP="00906096">
                  <w:pPr>
                    <w:rPr>
                      <w:color w:val="000000"/>
                      <w:sz w:val="18"/>
                    </w:rPr>
                  </w:pPr>
                  <w:r w:rsidRPr="00FC22F9">
                    <w:rPr>
                      <w:color w:val="000000"/>
                      <w:sz w:val="18"/>
                    </w:rPr>
                    <w:t>流动资产</w:t>
                  </w:r>
                </w:p>
              </w:tc>
              <w:tc>
                <w:tcPr>
                  <w:tcW w:w="1985" w:type="dxa"/>
                  <w:shd w:val="clear" w:color="auto" w:fill="auto"/>
                  <w:noWrap/>
                  <w:vAlign w:val="center"/>
                  <w:hideMark/>
                </w:tcPr>
                <w:p w:rsidR="00336080" w:rsidRPr="00FC22F9" w:rsidRDefault="00336080" w:rsidP="00906096">
                  <w:pPr>
                    <w:jc w:val="right"/>
                    <w:rPr>
                      <w:color w:val="000000"/>
                      <w:sz w:val="18"/>
                      <w:szCs w:val="18"/>
                    </w:rPr>
                  </w:pPr>
                  <w:r w:rsidRPr="00FC22F9">
                    <w:rPr>
                      <w:color w:val="000000"/>
                      <w:sz w:val="18"/>
                      <w:szCs w:val="18"/>
                    </w:rPr>
                    <w:t>153,644.77</w:t>
                  </w:r>
                </w:p>
              </w:tc>
              <w:tc>
                <w:tcPr>
                  <w:tcW w:w="1984" w:type="dxa"/>
                  <w:shd w:val="clear" w:color="auto" w:fill="auto"/>
                  <w:noWrap/>
                  <w:vAlign w:val="center"/>
                  <w:hideMark/>
                </w:tcPr>
                <w:p w:rsidR="00336080" w:rsidRPr="00FC22F9" w:rsidRDefault="00336080" w:rsidP="00906096">
                  <w:pPr>
                    <w:jc w:val="right"/>
                    <w:rPr>
                      <w:color w:val="000000"/>
                      <w:sz w:val="18"/>
                      <w:szCs w:val="18"/>
                    </w:rPr>
                  </w:pPr>
                  <w:r w:rsidRPr="00FC22F9">
                    <w:rPr>
                      <w:color w:val="000000"/>
                      <w:sz w:val="18"/>
                      <w:szCs w:val="18"/>
                    </w:rPr>
                    <w:t>498,644.77</w:t>
                  </w:r>
                </w:p>
              </w:tc>
              <w:tc>
                <w:tcPr>
                  <w:tcW w:w="2035" w:type="dxa"/>
                  <w:shd w:val="clear" w:color="auto" w:fill="auto"/>
                  <w:noWrap/>
                  <w:vAlign w:val="center"/>
                  <w:hideMark/>
                </w:tcPr>
                <w:p w:rsidR="00336080" w:rsidRPr="00FC22F9" w:rsidRDefault="00336080" w:rsidP="00906096">
                  <w:pPr>
                    <w:jc w:val="right"/>
                    <w:rPr>
                      <w:color w:val="000000"/>
                      <w:sz w:val="18"/>
                      <w:szCs w:val="18"/>
                    </w:rPr>
                  </w:pPr>
                  <w:r w:rsidRPr="00FC22F9">
                    <w:rPr>
                      <w:color w:val="000000"/>
                      <w:sz w:val="18"/>
                      <w:szCs w:val="18"/>
                    </w:rPr>
                    <w:t>448,644.77</w:t>
                  </w:r>
                </w:p>
              </w:tc>
            </w:tr>
            <w:tr w:rsidR="00336080" w:rsidRPr="00FC22F9" w:rsidTr="00906096">
              <w:trPr>
                <w:trHeight w:val="340"/>
                <w:jc w:val="center"/>
              </w:trPr>
              <w:tc>
                <w:tcPr>
                  <w:tcW w:w="1775" w:type="dxa"/>
                  <w:shd w:val="clear" w:color="auto" w:fill="auto"/>
                  <w:noWrap/>
                  <w:vAlign w:val="center"/>
                  <w:hideMark/>
                </w:tcPr>
                <w:p w:rsidR="00336080" w:rsidRPr="00FC22F9" w:rsidRDefault="00336080" w:rsidP="00906096">
                  <w:pPr>
                    <w:rPr>
                      <w:color w:val="000000"/>
                      <w:sz w:val="18"/>
                    </w:rPr>
                  </w:pPr>
                  <w:r w:rsidRPr="00FC22F9">
                    <w:rPr>
                      <w:color w:val="000000"/>
                      <w:sz w:val="18"/>
                    </w:rPr>
                    <w:t>非流动资产</w:t>
                  </w:r>
                </w:p>
              </w:tc>
              <w:tc>
                <w:tcPr>
                  <w:tcW w:w="1985" w:type="dxa"/>
                  <w:shd w:val="clear" w:color="auto" w:fill="auto"/>
                  <w:noWrap/>
                  <w:vAlign w:val="center"/>
                  <w:hideMark/>
                </w:tcPr>
                <w:p w:rsidR="00336080" w:rsidRPr="00FC22F9" w:rsidRDefault="00336080" w:rsidP="00906096">
                  <w:pPr>
                    <w:jc w:val="right"/>
                    <w:rPr>
                      <w:color w:val="000000"/>
                      <w:sz w:val="18"/>
                      <w:szCs w:val="18"/>
                    </w:rPr>
                  </w:pPr>
                  <w:r w:rsidRPr="00FC22F9">
                    <w:rPr>
                      <w:color w:val="000000"/>
                      <w:sz w:val="18"/>
                      <w:szCs w:val="18"/>
                    </w:rPr>
                    <w:t>300,827.04</w:t>
                  </w:r>
                </w:p>
              </w:tc>
              <w:tc>
                <w:tcPr>
                  <w:tcW w:w="1984" w:type="dxa"/>
                  <w:shd w:val="clear" w:color="auto" w:fill="auto"/>
                  <w:noWrap/>
                  <w:vAlign w:val="center"/>
                  <w:hideMark/>
                </w:tcPr>
                <w:p w:rsidR="00336080" w:rsidRPr="00FC22F9" w:rsidRDefault="00336080" w:rsidP="00906096">
                  <w:pPr>
                    <w:jc w:val="right"/>
                    <w:rPr>
                      <w:color w:val="000000"/>
                      <w:sz w:val="18"/>
                      <w:szCs w:val="18"/>
                    </w:rPr>
                  </w:pPr>
                  <w:r w:rsidRPr="00FC22F9">
                    <w:rPr>
                      <w:color w:val="000000"/>
                      <w:sz w:val="18"/>
                      <w:szCs w:val="18"/>
                    </w:rPr>
                    <w:t>300,827.04</w:t>
                  </w:r>
                </w:p>
              </w:tc>
              <w:tc>
                <w:tcPr>
                  <w:tcW w:w="2035" w:type="dxa"/>
                  <w:shd w:val="clear" w:color="auto" w:fill="auto"/>
                  <w:noWrap/>
                  <w:vAlign w:val="center"/>
                  <w:hideMark/>
                </w:tcPr>
                <w:p w:rsidR="00336080" w:rsidRPr="00FC22F9" w:rsidRDefault="00336080" w:rsidP="00906096">
                  <w:pPr>
                    <w:jc w:val="right"/>
                    <w:rPr>
                      <w:color w:val="000000"/>
                      <w:sz w:val="18"/>
                      <w:szCs w:val="18"/>
                    </w:rPr>
                  </w:pPr>
                  <w:r w:rsidRPr="00FC22F9">
                    <w:rPr>
                      <w:color w:val="000000"/>
                      <w:sz w:val="18"/>
                      <w:szCs w:val="18"/>
                    </w:rPr>
                    <w:t>300,827.04</w:t>
                  </w:r>
                </w:p>
              </w:tc>
            </w:tr>
            <w:tr w:rsidR="00336080" w:rsidRPr="00FC22F9" w:rsidTr="00906096">
              <w:trPr>
                <w:trHeight w:val="340"/>
                <w:jc w:val="center"/>
              </w:trPr>
              <w:tc>
                <w:tcPr>
                  <w:tcW w:w="1775" w:type="dxa"/>
                  <w:shd w:val="clear" w:color="auto" w:fill="auto"/>
                  <w:noWrap/>
                  <w:vAlign w:val="center"/>
                  <w:hideMark/>
                </w:tcPr>
                <w:p w:rsidR="00336080" w:rsidRPr="00FC22F9" w:rsidRDefault="00336080" w:rsidP="00906096">
                  <w:pPr>
                    <w:rPr>
                      <w:b/>
                      <w:bCs/>
                      <w:color w:val="000000"/>
                      <w:sz w:val="18"/>
                    </w:rPr>
                  </w:pPr>
                  <w:r w:rsidRPr="00FC22F9">
                    <w:rPr>
                      <w:b/>
                      <w:bCs/>
                      <w:color w:val="000000"/>
                      <w:sz w:val="18"/>
                    </w:rPr>
                    <w:t>总资产</w:t>
                  </w:r>
                </w:p>
              </w:tc>
              <w:tc>
                <w:tcPr>
                  <w:tcW w:w="1985" w:type="dxa"/>
                  <w:shd w:val="clear" w:color="auto" w:fill="auto"/>
                  <w:noWrap/>
                  <w:vAlign w:val="center"/>
                  <w:hideMark/>
                </w:tcPr>
                <w:p w:rsidR="00336080" w:rsidRPr="00FC22F9" w:rsidRDefault="00336080" w:rsidP="00906096">
                  <w:pPr>
                    <w:jc w:val="right"/>
                    <w:rPr>
                      <w:b/>
                      <w:bCs/>
                      <w:color w:val="000000"/>
                      <w:sz w:val="18"/>
                      <w:szCs w:val="18"/>
                    </w:rPr>
                  </w:pPr>
                  <w:r w:rsidRPr="00FC22F9">
                    <w:rPr>
                      <w:b/>
                      <w:bCs/>
                      <w:color w:val="000000"/>
                      <w:sz w:val="18"/>
                      <w:szCs w:val="18"/>
                    </w:rPr>
                    <w:t>454,471.81</w:t>
                  </w:r>
                </w:p>
              </w:tc>
              <w:tc>
                <w:tcPr>
                  <w:tcW w:w="1984" w:type="dxa"/>
                  <w:shd w:val="clear" w:color="auto" w:fill="auto"/>
                  <w:noWrap/>
                  <w:vAlign w:val="center"/>
                  <w:hideMark/>
                </w:tcPr>
                <w:p w:rsidR="00336080" w:rsidRPr="00FC22F9" w:rsidRDefault="00336080" w:rsidP="00906096">
                  <w:pPr>
                    <w:jc w:val="right"/>
                    <w:rPr>
                      <w:b/>
                      <w:bCs/>
                      <w:color w:val="000000"/>
                      <w:sz w:val="18"/>
                      <w:szCs w:val="18"/>
                    </w:rPr>
                  </w:pPr>
                  <w:r w:rsidRPr="00FC22F9">
                    <w:rPr>
                      <w:b/>
                      <w:bCs/>
                      <w:color w:val="000000"/>
                      <w:sz w:val="18"/>
                      <w:szCs w:val="18"/>
                    </w:rPr>
                    <w:t>799,471.81</w:t>
                  </w:r>
                </w:p>
              </w:tc>
              <w:tc>
                <w:tcPr>
                  <w:tcW w:w="2035" w:type="dxa"/>
                  <w:shd w:val="clear" w:color="auto" w:fill="auto"/>
                  <w:noWrap/>
                  <w:vAlign w:val="center"/>
                  <w:hideMark/>
                </w:tcPr>
                <w:p w:rsidR="00336080" w:rsidRPr="00FC22F9" w:rsidRDefault="00336080" w:rsidP="00906096">
                  <w:pPr>
                    <w:jc w:val="right"/>
                    <w:rPr>
                      <w:b/>
                      <w:bCs/>
                      <w:color w:val="000000"/>
                      <w:sz w:val="18"/>
                      <w:szCs w:val="18"/>
                    </w:rPr>
                  </w:pPr>
                  <w:r w:rsidRPr="00FC22F9">
                    <w:rPr>
                      <w:b/>
                      <w:bCs/>
                      <w:color w:val="000000"/>
                      <w:sz w:val="18"/>
                      <w:szCs w:val="18"/>
                    </w:rPr>
                    <w:t>749,471.81</w:t>
                  </w:r>
                </w:p>
              </w:tc>
            </w:tr>
            <w:tr w:rsidR="00336080" w:rsidRPr="00FC22F9" w:rsidTr="00906096">
              <w:trPr>
                <w:trHeight w:val="340"/>
                <w:jc w:val="center"/>
              </w:trPr>
              <w:tc>
                <w:tcPr>
                  <w:tcW w:w="1775" w:type="dxa"/>
                  <w:shd w:val="clear" w:color="auto" w:fill="auto"/>
                  <w:noWrap/>
                  <w:vAlign w:val="center"/>
                  <w:hideMark/>
                </w:tcPr>
                <w:p w:rsidR="00336080" w:rsidRPr="00FC22F9" w:rsidRDefault="00336080" w:rsidP="00906096">
                  <w:pPr>
                    <w:rPr>
                      <w:color w:val="000000"/>
                      <w:sz w:val="18"/>
                    </w:rPr>
                  </w:pPr>
                  <w:r w:rsidRPr="00FC22F9">
                    <w:rPr>
                      <w:color w:val="000000"/>
                      <w:sz w:val="18"/>
                    </w:rPr>
                    <w:t>流动负债</w:t>
                  </w:r>
                </w:p>
              </w:tc>
              <w:tc>
                <w:tcPr>
                  <w:tcW w:w="1985" w:type="dxa"/>
                  <w:shd w:val="clear" w:color="auto" w:fill="auto"/>
                  <w:noWrap/>
                  <w:vAlign w:val="center"/>
                  <w:hideMark/>
                </w:tcPr>
                <w:p w:rsidR="00336080" w:rsidRPr="00FC22F9" w:rsidRDefault="00336080" w:rsidP="00906096">
                  <w:pPr>
                    <w:jc w:val="right"/>
                    <w:rPr>
                      <w:color w:val="000000"/>
                      <w:sz w:val="18"/>
                      <w:szCs w:val="18"/>
                    </w:rPr>
                  </w:pPr>
                  <w:r w:rsidRPr="00FC22F9">
                    <w:rPr>
                      <w:color w:val="000000"/>
                      <w:sz w:val="18"/>
                      <w:szCs w:val="18"/>
                    </w:rPr>
                    <w:t>179,951.90</w:t>
                  </w:r>
                </w:p>
              </w:tc>
              <w:tc>
                <w:tcPr>
                  <w:tcW w:w="1984" w:type="dxa"/>
                  <w:shd w:val="clear" w:color="auto" w:fill="auto"/>
                  <w:noWrap/>
                  <w:vAlign w:val="center"/>
                  <w:hideMark/>
                </w:tcPr>
                <w:p w:rsidR="00336080" w:rsidRPr="00FC22F9" w:rsidRDefault="00336080" w:rsidP="00906096">
                  <w:pPr>
                    <w:jc w:val="right"/>
                    <w:rPr>
                      <w:color w:val="000000"/>
                      <w:sz w:val="18"/>
                      <w:szCs w:val="18"/>
                    </w:rPr>
                  </w:pPr>
                  <w:r w:rsidRPr="00FC22F9">
                    <w:rPr>
                      <w:color w:val="000000"/>
                      <w:sz w:val="18"/>
                      <w:szCs w:val="18"/>
                    </w:rPr>
                    <w:t>179,951.90</w:t>
                  </w:r>
                </w:p>
              </w:tc>
              <w:tc>
                <w:tcPr>
                  <w:tcW w:w="2035" w:type="dxa"/>
                  <w:shd w:val="clear" w:color="auto" w:fill="auto"/>
                  <w:noWrap/>
                  <w:vAlign w:val="center"/>
                  <w:hideMark/>
                </w:tcPr>
                <w:p w:rsidR="00336080" w:rsidRPr="00FC22F9" w:rsidRDefault="00336080" w:rsidP="00906096">
                  <w:pPr>
                    <w:jc w:val="right"/>
                    <w:rPr>
                      <w:color w:val="000000"/>
                      <w:sz w:val="18"/>
                      <w:szCs w:val="18"/>
                    </w:rPr>
                  </w:pPr>
                  <w:r w:rsidRPr="00FC22F9">
                    <w:rPr>
                      <w:color w:val="000000"/>
                      <w:sz w:val="18"/>
                      <w:szCs w:val="18"/>
                    </w:rPr>
                    <w:t>129,951.90</w:t>
                  </w:r>
                </w:p>
              </w:tc>
            </w:tr>
            <w:tr w:rsidR="00336080" w:rsidRPr="00FC22F9" w:rsidTr="00906096">
              <w:trPr>
                <w:trHeight w:val="340"/>
                <w:jc w:val="center"/>
              </w:trPr>
              <w:tc>
                <w:tcPr>
                  <w:tcW w:w="1775" w:type="dxa"/>
                  <w:shd w:val="clear" w:color="auto" w:fill="auto"/>
                  <w:noWrap/>
                  <w:vAlign w:val="center"/>
                  <w:hideMark/>
                </w:tcPr>
                <w:p w:rsidR="00336080" w:rsidRPr="00FC22F9" w:rsidRDefault="00336080" w:rsidP="00906096">
                  <w:pPr>
                    <w:rPr>
                      <w:color w:val="000000"/>
                      <w:sz w:val="18"/>
                    </w:rPr>
                  </w:pPr>
                  <w:r w:rsidRPr="00FC22F9">
                    <w:rPr>
                      <w:color w:val="000000"/>
                      <w:sz w:val="18"/>
                    </w:rPr>
                    <w:t>非流动负债</w:t>
                  </w:r>
                </w:p>
              </w:tc>
              <w:tc>
                <w:tcPr>
                  <w:tcW w:w="1985" w:type="dxa"/>
                  <w:shd w:val="clear" w:color="auto" w:fill="auto"/>
                  <w:noWrap/>
                  <w:vAlign w:val="center"/>
                  <w:hideMark/>
                </w:tcPr>
                <w:p w:rsidR="00336080" w:rsidRPr="00FC22F9" w:rsidRDefault="00336080" w:rsidP="00906096">
                  <w:pPr>
                    <w:jc w:val="right"/>
                    <w:rPr>
                      <w:color w:val="000000"/>
                      <w:sz w:val="18"/>
                      <w:szCs w:val="18"/>
                    </w:rPr>
                  </w:pPr>
                  <w:r w:rsidRPr="00FC22F9">
                    <w:rPr>
                      <w:color w:val="000000"/>
                      <w:sz w:val="18"/>
                      <w:szCs w:val="18"/>
                    </w:rPr>
                    <w:t>27,429.68</w:t>
                  </w:r>
                </w:p>
              </w:tc>
              <w:tc>
                <w:tcPr>
                  <w:tcW w:w="1984" w:type="dxa"/>
                  <w:shd w:val="clear" w:color="auto" w:fill="auto"/>
                  <w:noWrap/>
                  <w:vAlign w:val="center"/>
                  <w:hideMark/>
                </w:tcPr>
                <w:p w:rsidR="00336080" w:rsidRPr="00FC22F9" w:rsidRDefault="00336080" w:rsidP="00906096">
                  <w:pPr>
                    <w:jc w:val="right"/>
                    <w:rPr>
                      <w:color w:val="000000"/>
                      <w:sz w:val="18"/>
                      <w:szCs w:val="18"/>
                    </w:rPr>
                  </w:pPr>
                  <w:r w:rsidRPr="00FC22F9">
                    <w:rPr>
                      <w:color w:val="000000"/>
                      <w:sz w:val="18"/>
                      <w:szCs w:val="18"/>
                    </w:rPr>
                    <w:t>27,429.68</w:t>
                  </w:r>
                </w:p>
              </w:tc>
              <w:tc>
                <w:tcPr>
                  <w:tcW w:w="2035" w:type="dxa"/>
                  <w:shd w:val="clear" w:color="auto" w:fill="auto"/>
                  <w:noWrap/>
                  <w:vAlign w:val="center"/>
                  <w:hideMark/>
                </w:tcPr>
                <w:p w:rsidR="00336080" w:rsidRPr="00FC22F9" w:rsidRDefault="00336080" w:rsidP="00906096">
                  <w:pPr>
                    <w:jc w:val="right"/>
                    <w:rPr>
                      <w:color w:val="000000"/>
                      <w:sz w:val="18"/>
                      <w:szCs w:val="18"/>
                    </w:rPr>
                  </w:pPr>
                  <w:r w:rsidRPr="00FC22F9">
                    <w:rPr>
                      <w:color w:val="000000"/>
                      <w:sz w:val="18"/>
                      <w:szCs w:val="18"/>
                    </w:rPr>
                    <w:t>27,429.68</w:t>
                  </w:r>
                </w:p>
              </w:tc>
            </w:tr>
            <w:tr w:rsidR="00336080" w:rsidRPr="00FC22F9" w:rsidTr="00906096">
              <w:trPr>
                <w:trHeight w:val="340"/>
                <w:jc w:val="center"/>
              </w:trPr>
              <w:tc>
                <w:tcPr>
                  <w:tcW w:w="1775" w:type="dxa"/>
                  <w:shd w:val="clear" w:color="auto" w:fill="auto"/>
                  <w:noWrap/>
                  <w:vAlign w:val="center"/>
                  <w:hideMark/>
                </w:tcPr>
                <w:p w:rsidR="00336080" w:rsidRPr="00FC22F9" w:rsidRDefault="00336080" w:rsidP="00906096">
                  <w:pPr>
                    <w:rPr>
                      <w:b/>
                      <w:bCs/>
                      <w:color w:val="000000"/>
                      <w:sz w:val="18"/>
                    </w:rPr>
                  </w:pPr>
                  <w:r w:rsidRPr="00FC22F9">
                    <w:rPr>
                      <w:b/>
                      <w:bCs/>
                      <w:color w:val="000000"/>
                      <w:sz w:val="18"/>
                    </w:rPr>
                    <w:t>总负债</w:t>
                  </w:r>
                </w:p>
              </w:tc>
              <w:tc>
                <w:tcPr>
                  <w:tcW w:w="1985" w:type="dxa"/>
                  <w:shd w:val="clear" w:color="auto" w:fill="auto"/>
                  <w:noWrap/>
                  <w:vAlign w:val="center"/>
                  <w:hideMark/>
                </w:tcPr>
                <w:p w:rsidR="00336080" w:rsidRPr="00FC22F9" w:rsidRDefault="00336080" w:rsidP="00906096">
                  <w:pPr>
                    <w:jc w:val="right"/>
                    <w:rPr>
                      <w:b/>
                      <w:bCs/>
                      <w:color w:val="000000"/>
                      <w:sz w:val="18"/>
                      <w:szCs w:val="18"/>
                    </w:rPr>
                  </w:pPr>
                  <w:r w:rsidRPr="00FC22F9">
                    <w:rPr>
                      <w:b/>
                      <w:bCs/>
                      <w:color w:val="000000"/>
                      <w:sz w:val="18"/>
                      <w:szCs w:val="18"/>
                    </w:rPr>
                    <w:t>207,381.57</w:t>
                  </w:r>
                </w:p>
              </w:tc>
              <w:tc>
                <w:tcPr>
                  <w:tcW w:w="1984" w:type="dxa"/>
                  <w:shd w:val="clear" w:color="auto" w:fill="auto"/>
                  <w:noWrap/>
                  <w:vAlign w:val="center"/>
                  <w:hideMark/>
                </w:tcPr>
                <w:p w:rsidR="00336080" w:rsidRPr="00FC22F9" w:rsidRDefault="00336080" w:rsidP="00906096">
                  <w:pPr>
                    <w:jc w:val="right"/>
                    <w:rPr>
                      <w:b/>
                      <w:bCs/>
                      <w:color w:val="000000"/>
                      <w:sz w:val="18"/>
                      <w:szCs w:val="18"/>
                    </w:rPr>
                  </w:pPr>
                  <w:r w:rsidRPr="00FC22F9">
                    <w:rPr>
                      <w:b/>
                      <w:bCs/>
                      <w:color w:val="000000"/>
                      <w:sz w:val="18"/>
                      <w:szCs w:val="18"/>
                    </w:rPr>
                    <w:t>207,381.58</w:t>
                  </w:r>
                </w:p>
              </w:tc>
              <w:tc>
                <w:tcPr>
                  <w:tcW w:w="2035" w:type="dxa"/>
                  <w:shd w:val="clear" w:color="auto" w:fill="auto"/>
                  <w:noWrap/>
                  <w:vAlign w:val="center"/>
                  <w:hideMark/>
                </w:tcPr>
                <w:p w:rsidR="00336080" w:rsidRPr="00FC22F9" w:rsidRDefault="00336080" w:rsidP="00906096">
                  <w:pPr>
                    <w:jc w:val="right"/>
                    <w:rPr>
                      <w:b/>
                      <w:bCs/>
                      <w:color w:val="000000"/>
                      <w:sz w:val="18"/>
                      <w:szCs w:val="18"/>
                    </w:rPr>
                  </w:pPr>
                  <w:r w:rsidRPr="00FC22F9">
                    <w:rPr>
                      <w:b/>
                      <w:bCs/>
                      <w:color w:val="000000"/>
                      <w:sz w:val="18"/>
                      <w:szCs w:val="18"/>
                    </w:rPr>
                    <w:t>157,381.58</w:t>
                  </w:r>
                </w:p>
              </w:tc>
            </w:tr>
            <w:tr w:rsidR="00336080" w:rsidRPr="00FC22F9" w:rsidTr="00906096">
              <w:trPr>
                <w:trHeight w:val="340"/>
                <w:jc w:val="center"/>
              </w:trPr>
              <w:tc>
                <w:tcPr>
                  <w:tcW w:w="1775" w:type="dxa"/>
                  <w:shd w:val="clear" w:color="auto" w:fill="auto"/>
                  <w:noWrap/>
                  <w:vAlign w:val="center"/>
                  <w:hideMark/>
                </w:tcPr>
                <w:p w:rsidR="00336080" w:rsidRPr="00FC22F9" w:rsidRDefault="00336080" w:rsidP="00906096">
                  <w:pPr>
                    <w:rPr>
                      <w:b/>
                      <w:bCs/>
                      <w:color w:val="000000"/>
                      <w:sz w:val="18"/>
                    </w:rPr>
                  </w:pPr>
                  <w:r w:rsidRPr="00FC22F9">
                    <w:rPr>
                      <w:b/>
                      <w:bCs/>
                      <w:color w:val="000000"/>
                      <w:sz w:val="18"/>
                    </w:rPr>
                    <w:t>净资产</w:t>
                  </w:r>
                </w:p>
              </w:tc>
              <w:tc>
                <w:tcPr>
                  <w:tcW w:w="1985" w:type="dxa"/>
                  <w:shd w:val="clear" w:color="auto" w:fill="auto"/>
                  <w:noWrap/>
                  <w:vAlign w:val="center"/>
                  <w:hideMark/>
                </w:tcPr>
                <w:p w:rsidR="00336080" w:rsidRPr="00FC22F9" w:rsidRDefault="00336080" w:rsidP="00906096">
                  <w:pPr>
                    <w:jc w:val="right"/>
                    <w:rPr>
                      <w:b/>
                      <w:bCs/>
                      <w:color w:val="000000"/>
                      <w:sz w:val="18"/>
                      <w:szCs w:val="18"/>
                    </w:rPr>
                  </w:pPr>
                  <w:r w:rsidRPr="00FC22F9">
                    <w:rPr>
                      <w:b/>
                      <w:bCs/>
                      <w:color w:val="000000"/>
                      <w:sz w:val="18"/>
                      <w:szCs w:val="18"/>
                    </w:rPr>
                    <w:t>247,090.24</w:t>
                  </w:r>
                </w:p>
              </w:tc>
              <w:tc>
                <w:tcPr>
                  <w:tcW w:w="1984" w:type="dxa"/>
                  <w:shd w:val="clear" w:color="auto" w:fill="auto"/>
                  <w:noWrap/>
                  <w:vAlign w:val="center"/>
                  <w:hideMark/>
                </w:tcPr>
                <w:p w:rsidR="00336080" w:rsidRPr="00FC22F9" w:rsidRDefault="00336080" w:rsidP="00906096">
                  <w:pPr>
                    <w:jc w:val="right"/>
                    <w:rPr>
                      <w:b/>
                      <w:bCs/>
                      <w:color w:val="000000"/>
                      <w:sz w:val="18"/>
                      <w:szCs w:val="18"/>
                    </w:rPr>
                  </w:pPr>
                  <w:r w:rsidRPr="00FC22F9">
                    <w:rPr>
                      <w:b/>
                      <w:bCs/>
                      <w:color w:val="000000"/>
                      <w:sz w:val="18"/>
                      <w:szCs w:val="18"/>
                    </w:rPr>
                    <w:t>592,090.24</w:t>
                  </w:r>
                </w:p>
              </w:tc>
              <w:tc>
                <w:tcPr>
                  <w:tcW w:w="2035" w:type="dxa"/>
                  <w:shd w:val="clear" w:color="auto" w:fill="auto"/>
                  <w:noWrap/>
                  <w:vAlign w:val="center"/>
                  <w:hideMark/>
                </w:tcPr>
                <w:p w:rsidR="00336080" w:rsidRPr="00FC22F9" w:rsidRDefault="00336080" w:rsidP="00906096">
                  <w:pPr>
                    <w:jc w:val="right"/>
                    <w:rPr>
                      <w:b/>
                      <w:bCs/>
                      <w:color w:val="000000"/>
                      <w:sz w:val="18"/>
                      <w:szCs w:val="18"/>
                    </w:rPr>
                  </w:pPr>
                  <w:r w:rsidRPr="00FC22F9">
                    <w:rPr>
                      <w:b/>
                      <w:bCs/>
                      <w:color w:val="000000"/>
                      <w:sz w:val="18"/>
                      <w:szCs w:val="18"/>
                    </w:rPr>
                    <w:t>592,090.24</w:t>
                  </w:r>
                </w:p>
              </w:tc>
            </w:tr>
            <w:tr w:rsidR="00336080" w:rsidRPr="00FC22F9" w:rsidTr="00906096">
              <w:trPr>
                <w:trHeight w:val="340"/>
                <w:jc w:val="center"/>
              </w:trPr>
              <w:tc>
                <w:tcPr>
                  <w:tcW w:w="1775" w:type="dxa"/>
                  <w:shd w:val="clear" w:color="auto" w:fill="auto"/>
                  <w:noWrap/>
                  <w:vAlign w:val="center"/>
                  <w:hideMark/>
                </w:tcPr>
                <w:p w:rsidR="00336080" w:rsidRPr="00FC22F9" w:rsidRDefault="00336080" w:rsidP="00906096">
                  <w:pPr>
                    <w:rPr>
                      <w:color w:val="000000"/>
                      <w:sz w:val="18"/>
                    </w:rPr>
                  </w:pPr>
                  <w:r w:rsidRPr="00FC22F9">
                    <w:rPr>
                      <w:color w:val="000000"/>
                      <w:sz w:val="18"/>
                    </w:rPr>
                    <w:t>资产负债率</w:t>
                  </w:r>
                </w:p>
              </w:tc>
              <w:tc>
                <w:tcPr>
                  <w:tcW w:w="1985" w:type="dxa"/>
                  <w:shd w:val="clear" w:color="000000" w:fill="FFFFFF"/>
                  <w:vAlign w:val="center"/>
                  <w:hideMark/>
                </w:tcPr>
                <w:p w:rsidR="00336080" w:rsidRPr="00FC22F9" w:rsidRDefault="00336080" w:rsidP="00906096">
                  <w:pPr>
                    <w:jc w:val="right"/>
                    <w:rPr>
                      <w:color w:val="000000"/>
                      <w:sz w:val="18"/>
                      <w:szCs w:val="18"/>
                    </w:rPr>
                  </w:pPr>
                  <w:r w:rsidRPr="00FC22F9">
                    <w:rPr>
                      <w:color w:val="000000"/>
                      <w:sz w:val="18"/>
                      <w:szCs w:val="18"/>
                    </w:rPr>
                    <w:t>45.63%</w:t>
                  </w:r>
                </w:p>
              </w:tc>
              <w:tc>
                <w:tcPr>
                  <w:tcW w:w="1984" w:type="dxa"/>
                  <w:shd w:val="clear" w:color="000000" w:fill="FFFFFF"/>
                  <w:vAlign w:val="center"/>
                  <w:hideMark/>
                </w:tcPr>
                <w:p w:rsidR="00336080" w:rsidRPr="00FC22F9" w:rsidRDefault="00336080" w:rsidP="00906096">
                  <w:pPr>
                    <w:jc w:val="right"/>
                    <w:rPr>
                      <w:color w:val="000000"/>
                      <w:sz w:val="18"/>
                      <w:szCs w:val="18"/>
                    </w:rPr>
                  </w:pPr>
                  <w:r w:rsidRPr="00FC22F9">
                    <w:rPr>
                      <w:color w:val="000000"/>
                      <w:sz w:val="18"/>
                      <w:szCs w:val="18"/>
                    </w:rPr>
                    <w:t>25.94%</w:t>
                  </w:r>
                </w:p>
              </w:tc>
              <w:tc>
                <w:tcPr>
                  <w:tcW w:w="2035" w:type="dxa"/>
                  <w:shd w:val="clear" w:color="000000" w:fill="FFFFFF"/>
                  <w:vAlign w:val="center"/>
                  <w:hideMark/>
                </w:tcPr>
                <w:p w:rsidR="00336080" w:rsidRPr="00FC22F9" w:rsidRDefault="00336080" w:rsidP="00906096">
                  <w:pPr>
                    <w:jc w:val="right"/>
                    <w:rPr>
                      <w:color w:val="000000"/>
                      <w:sz w:val="18"/>
                      <w:szCs w:val="18"/>
                    </w:rPr>
                  </w:pPr>
                  <w:r w:rsidRPr="00FC22F9">
                    <w:rPr>
                      <w:color w:val="000000"/>
                      <w:sz w:val="18"/>
                      <w:szCs w:val="18"/>
                    </w:rPr>
                    <w:t>21.00%</w:t>
                  </w:r>
                </w:p>
              </w:tc>
            </w:tr>
            <w:tr w:rsidR="00336080" w:rsidRPr="00FC22F9" w:rsidTr="00906096">
              <w:trPr>
                <w:trHeight w:val="340"/>
                <w:jc w:val="center"/>
              </w:trPr>
              <w:tc>
                <w:tcPr>
                  <w:tcW w:w="1775" w:type="dxa"/>
                  <w:shd w:val="clear" w:color="auto" w:fill="auto"/>
                  <w:noWrap/>
                  <w:vAlign w:val="center"/>
                  <w:hideMark/>
                </w:tcPr>
                <w:p w:rsidR="00336080" w:rsidRPr="00FC22F9" w:rsidRDefault="00336080" w:rsidP="00906096">
                  <w:pPr>
                    <w:rPr>
                      <w:color w:val="000000"/>
                      <w:sz w:val="18"/>
                    </w:rPr>
                  </w:pPr>
                  <w:r w:rsidRPr="00FC22F9">
                    <w:rPr>
                      <w:color w:val="000000"/>
                      <w:sz w:val="18"/>
                    </w:rPr>
                    <w:t>流动比率</w:t>
                  </w:r>
                </w:p>
              </w:tc>
              <w:tc>
                <w:tcPr>
                  <w:tcW w:w="1985" w:type="dxa"/>
                  <w:shd w:val="clear" w:color="auto" w:fill="auto"/>
                  <w:noWrap/>
                  <w:vAlign w:val="center"/>
                  <w:hideMark/>
                </w:tcPr>
                <w:p w:rsidR="00336080" w:rsidRPr="00FC22F9" w:rsidRDefault="00336080" w:rsidP="00906096">
                  <w:pPr>
                    <w:jc w:val="right"/>
                    <w:rPr>
                      <w:color w:val="000000"/>
                      <w:sz w:val="18"/>
                      <w:szCs w:val="18"/>
                    </w:rPr>
                  </w:pPr>
                  <w:r w:rsidRPr="00FC22F9">
                    <w:rPr>
                      <w:color w:val="000000"/>
                      <w:sz w:val="18"/>
                      <w:szCs w:val="18"/>
                    </w:rPr>
                    <w:t>0.85</w:t>
                  </w:r>
                </w:p>
              </w:tc>
              <w:tc>
                <w:tcPr>
                  <w:tcW w:w="1984" w:type="dxa"/>
                  <w:shd w:val="clear" w:color="auto" w:fill="auto"/>
                  <w:noWrap/>
                  <w:vAlign w:val="center"/>
                  <w:hideMark/>
                </w:tcPr>
                <w:p w:rsidR="00336080" w:rsidRPr="00FC22F9" w:rsidRDefault="00336080" w:rsidP="00906096">
                  <w:pPr>
                    <w:jc w:val="right"/>
                    <w:rPr>
                      <w:color w:val="000000"/>
                      <w:sz w:val="18"/>
                      <w:szCs w:val="18"/>
                    </w:rPr>
                  </w:pPr>
                  <w:r w:rsidRPr="00FC22F9">
                    <w:rPr>
                      <w:color w:val="000000"/>
                      <w:sz w:val="18"/>
                      <w:szCs w:val="18"/>
                    </w:rPr>
                    <w:t>2.77</w:t>
                  </w:r>
                </w:p>
              </w:tc>
              <w:tc>
                <w:tcPr>
                  <w:tcW w:w="2035" w:type="dxa"/>
                  <w:shd w:val="clear" w:color="auto" w:fill="auto"/>
                  <w:noWrap/>
                  <w:vAlign w:val="center"/>
                  <w:hideMark/>
                </w:tcPr>
                <w:p w:rsidR="00336080" w:rsidRPr="00FC22F9" w:rsidRDefault="00336080" w:rsidP="00906096">
                  <w:pPr>
                    <w:jc w:val="right"/>
                    <w:rPr>
                      <w:color w:val="000000"/>
                      <w:sz w:val="18"/>
                      <w:szCs w:val="18"/>
                    </w:rPr>
                  </w:pPr>
                  <w:r w:rsidRPr="00FC22F9">
                    <w:rPr>
                      <w:color w:val="000000"/>
                      <w:sz w:val="18"/>
                      <w:szCs w:val="18"/>
                    </w:rPr>
                    <w:t>3.45</w:t>
                  </w:r>
                </w:p>
              </w:tc>
            </w:tr>
            <w:tr w:rsidR="00336080" w:rsidRPr="00FC22F9" w:rsidTr="00906096">
              <w:trPr>
                <w:trHeight w:val="340"/>
                <w:jc w:val="center"/>
              </w:trPr>
              <w:tc>
                <w:tcPr>
                  <w:tcW w:w="1775" w:type="dxa"/>
                  <w:shd w:val="clear" w:color="auto" w:fill="auto"/>
                  <w:noWrap/>
                  <w:vAlign w:val="center"/>
                  <w:hideMark/>
                </w:tcPr>
                <w:p w:rsidR="00336080" w:rsidRPr="00FC22F9" w:rsidRDefault="00336080" w:rsidP="00906096">
                  <w:pPr>
                    <w:rPr>
                      <w:color w:val="000000"/>
                      <w:sz w:val="18"/>
                    </w:rPr>
                  </w:pPr>
                  <w:r w:rsidRPr="00FC22F9">
                    <w:rPr>
                      <w:color w:val="000000"/>
                      <w:sz w:val="18"/>
                    </w:rPr>
                    <w:t>速动比率</w:t>
                  </w:r>
                </w:p>
              </w:tc>
              <w:tc>
                <w:tcPr>
                  <w:tcW w:w="1985" w:type="dxa"/>
                  <w:shd w:val="clear" w:color="auto" w:fill="auto"/>
                  <w:noWrap/>
                  <w:vAlign w:val="center"/>
                  <w:hideMark/>
                </w:tcPr>
                <w:p w:rsidR="00336080" w:rsidRPr="00FC22F9" w:rsidRDefault="00336080" w:rsidP="00906096">
                  <w:pPr>
                    <w:jc w:val="right"/>
                    <w:rPr>
                      <w:color w:val="000000"/>
                      <w:sz w:val="18"/>
                      <w:szCs w:val="18"/>
                    </w:rPr>
                  </w:pPr>
                  <w:r w:rsidRPr="00FC22F9">
                    <w:rPr>
                      <w:color w:val="000000"/>
                      <w:sz w:val="18"/>
                      <w:szCs w:val="18"/>
                    </w:rPr>
                    <w:t>0.62</w:t>
                  </w:r>
                </w:p>
              </w:tc>
              <w:tc>
                <w:tcPr>
                  <w:tcW w:w="1984" w:type="dxa"/>
                  <w:shd w:val="clear" w:color="auto" w:fill="auto"/>
                  <w:noWrap/>
                  <w:vAlign w:val="center"/>
                  <w:hideMark/>
                </w:tcPr>
                <w:p w:rsidR="00336080" w:rsidRPr="00FC22F9" w:rsidRDefault="00336080" w:rsidP="00906096">
                  <w:pPr>
                    <w:jc w:val="right"/>
                    <w:rPr>
                      <w:color w:val="000000"/>
                      <w:sz w:val="18"/>
                      <w:szCs w:val="18"/>
                    </w:rPr>
                  </w:pPr>
                  <w:r w:rsidRPr="00FC22F9">
                    <w:rPr>
                      <w:color w:val="000000"/>
                      <w:sz w:val="18"/>
                      <w:szCs w:val="18"/>
                    </w:rPr>
                    <w:t>2.54</w:t>
                  </w:r>
                </w:p>
              </w:tc>
              <w:tc>
                <w:tcPr>
                  <w:tcW w:w="2035" w:type="dxa"/>
                  <w:shd w:val="clear" w:color="auto" w:fill="auto"/>
                  <w:noWrap/>
                  <w:vAlign w:val="center"/>
                  <w:hideMark/>
                </w:tcPr>
                <w:p w:rsidR="00336080" w:rsidRPr="00FC22F9" w:rsidRDefault="00336080" w:rsidP="00906096">
                  <w:pPr>
                    <w:jc w:val="right"/>
                    <w:rPr>
                      <w:color w:val="000000"/>
                      <w:sz w:val="18"/>
                      <w:szCs w:val="18"/>
                    </w:rPr>
                  </w:pPr>
                  <w:r w:rsidRPr="00FC22F9">
                    <w:rPr>
                      <w:color w:val="000000"/>
                      <w:sz w:val="18"/>
                      <w:szCs w:val="18"/>
                    </w:rPr>
                    <w:t>3.13</w:t>
                  </w:r>
                </w:p>
              </w:tc>
            </w:tr>
          </w:tbl>
          <w:p w:rsidR="00336080" w:rsidRDefault="00336080" w:rsidP="000219D2">
            <w:pPr>
              <w:spacing w:afterLines="50"/>
              <w:ind w:firstLineChars="200" w:firstLine="420"/>
              <w:rPr>
                <w:rFonts w:ascii="Arial" w:eastAsiaTheme="minorEastAsia" w:hAnsi="Arial" w:cs="Arial"/>
                <w:szCs w:val="21"/>
              </w:rPr>
            </w:pPr>
            <w:r w:rsidRPr="008D6B75">
              <w:rPr>
                <w:rFonts w:ascii="Arial" w:eastAsiaTheme="minorEastAsia" w:hAnsi="Arial" w:cs="Arial"/>
                <w:szCs w:val="21"/>
              </w:rPr>
              <w:t>如上表，本次发行完成后，</w:t>
            </w:r>
            <w:r w:rsidRPr="00E93DE9">
              <w:rPr>
                <w:rFonts w:ascii="Arial" w:eastAsiaTheme="minorEastAsia" w:hAnsi="Arial" w:cs="Arial"/>
                <w:b/>
                <w:szCs w:val="21"/>
              </w:rPr>
              <w:t>公司资产负债率将从目前的</w:t>
            </w:r>
            <w:r w:rsidRPr="00E93DE9">
              <w:rPr>
                <w:rFonts w:ascii="Arial" w:eastAsiaTheme="minorEastAsia" w:hAnsi="Arial" w:cs="Arial"/>
                <w:b/>
                <w:szCs w:val="21"/>
              </w:rPr>
              <w:t>45.63%</w:t>
            </w:r>
            <w:r w:rsidRPr="00E93DE9">
              <w:rPr>
                <w:rFonts w:ascii="Arial" w:eastAsiaTheme="minorEastAsia" w:hAnsi="Arial" w:cs="Arial"/>
                <w:b/>
                <w:szCs w:val="21"/>
              </w:rPr>
              <w:t>下降至</w:t>
            </w:r>
            <w:r w:rsidRPr="00E93DE9">
              <w:rPr>
                <w:rFonts w:ascii="Arial" w:eastAsiaTheme="minorEastAsia" w:hAnsi="Arial" w:cs="Arial"/>
                <w:b/>
                <w:szCs w:val="21"/>
              </w:rPr>
              <w:t>21%</w:t>
            </w:r>
            <w:r w:rsidRPr="00E93DE9">
              <w:rPr>
                <w:rFonts w:ascii="Arial" w:eastAsiaTheme="minorEastAsia" w:hAnsi="Arial" w:cs="Arial"/>
                <w:b/>
                <w:szCs w:val="21"/>
              </w:rPr>
              <w:t>，短期偿债指标将有很大幅度的改善，一方面募集资金到位后</w:t>
            </w:r>
            <w:r w:rsidRPr="00E93DE9">
              <w:rPr>
                <w:rFonts w:ascii="Arial" w:eastAsiaTheme="minorEastAsia" w:hAnsi="Arial" w:cs="Arial" w:hint="eastAsia"/>
                <w:b/>
                <w:szCs w:val="21"/>
              </w:rPr>
              <w:t>，</w:t>
            </w:r>
            <w:r w:rsidRPr="00E93DE9">
              <w:rPr>
                <w:rFonts w:ascii="Arial" w:eastAsiaTheme="minorEastAsia" w:hAnsi="Arial" w:cs="Arial"/>
                <w:b/>
                <w:szCs w:val="21"/>
              </w:rPr>
              <w:t>银行债务的置换将有效降低财务费用支出</w:t>
            </w:r>
            <w:r w:rsidRPr="00E93DE9">
              <w:rPr>
                <w:rFonts w:ascii="Arial" w:eastAsiaTheme="minorEastAsia" w:hAnsi="Arial" w:cs="Arial" w:hint="eastAsia"/>
                <w:b/>
                <w:szCs w:val="21"/>
              </w:rPr>
              <w:t>（按照公司</w:t>
            </w:r>
            <w:r w:rsidRPr="00E93DE9">
              <w:rPr>
                <w:rFonts w:ascii="Arial" w:eastAsiaTheme="minorEastAsia" w:hAnsi="Arial" w:cs="Arial" w:hint="eastAsia"/>
                <w:b/>
                <w:szCs w:val="21"/>
              </w:rPr>
              <w:t>2016</w:t>
            </w:r>
            <w:r w:rsidRPr="00E93DE9">
              <w:rPr>
                <w:rFonts w:ascii="Arial" w:eastAsiaTheme="minorEastAsia" w:hAnsi="Arial" w:cs="Arial" w:hint="eastAsia"/>
                <w:b/>
                <w:szCs w:val="21"/>
              </w:rPr>
              <w:t>年半年度报表，预计每年可降低</w:t>
            </w:r>
            <w:r w:rsidRPr="00E93DE9">
              <w:rPr>
                <w:rFonts w:ascii="Arial" w:eastAsiaTheme="minorEastAsia" w:hAnsi="Arial" w:cs="Arial" w:hint="eastAsia"/>
                <w:b/>
                <w:szCs w:val="21"/>
              </w:rPr>
              <w:t>6000</w:t>
            </w:r>
            <w:r w:rsidRPr="00E93DE9">
              <w:rPr>
                <w:rFonts w:ascii="Arial" w:eastAsiaTheme="minorEastAsia" w:hAnsi="Arial" w:cs="Arial" w:hint="eastAsia"/>
                <w:b/>
                <w:szCs w:val="21"/>
              </w:rPr>
              <w:t>万元），对净利润形成直接贡献；另外一方面资产负债率的下降亦为公司下一步债券融资提供了有效空间。</w:t>
            </w:r>
          </w:p>
          <w:p w:rsidR="00336080" w:rsidRDefault="00336080" w:rsidP="000219D2">
            <w:pPr>
              <w:spacing w:afterLines="50"/>
              <w:rPr>
                <w:rFonts w:ascii="Arial" w:eastAsiaTheme="minorEastAsia" w:hAnsi="Arial" w:cs="Arial"/>
                <w:szCs w:val="21"/>
              </w:rPr>
            </w:pPr>
            <w:r>
              <w:rPr>
                <w:b/>
              </w:rPr>
              <w:t>5</w:t>
            </w:r>
            <w:r w:rsidR="00FD69BA">
              <w:rPr>
                <w:b/>
              </w:rPr>
              <w:t>.</w:t>
            </w:r>
            <w:r>
              <w:rPr>
                <w:rFonts w:hint="eastAsia"/>
                <w:b/>
              </w:rPr>
              <w:t>资本公积增加</w:t>
            </w:r>
            <w:r>
              <w:rPr>
                <w:rFonts w:hint="eastAsia"/>
                <w:b/>
              </w:rPr>
              <w:t>321%</w:t>
            </w:r>
            <w:r>
              <w:rPr>
                <w:b/>
              </w:rPr>
              <w:t>至</w:t>
            </w:r>
            <w:r>
              <w:rPr>
                <w:rFonts w:hint="eastAsia"/>
                <w:b/>
              </w:rPr>
              <w:t>48.4</w:t>
            </w:r>
            <w:r>
              <w:rPr>
                <w:rFonts w:hint="eastAsia"/>
                <w:b/>
              </w:rPr>
              <w:t>亿元——提升利润分配和融资空间</w:t>
            </w:r>
          </w:p>
          <w:p w:rsidR="00BF332A" w:rsidRPr="00902704" w:rsidRDefault="00336080" w:rsidP="000219D2">
            <w:pPr>
              <w:spacing w:afterLines="50"/>
              <w:ind w:firstLineChars="200" w:firstLine="422"/>
              <w:rPr>
                <w:rFonts w:ascii="Arial" w:eastAsiaTheme="minorEastAsia" w:hAnsi="Arial" w:cs="Arial"/>
                <w:szCs w:val="21"/>
              </w:rPr>
            </w:pPr>
            <w:r w:rsidRPr="00E93DE9">
              <w:rPr>
                <w:rFonts w:ascii="Arial" w:eastAsiaTheme="minorEastAsia" w:hAnsi="Arial" w:cs="Arial" w:hint="eastAsia"/>
                <w:b/>
                <w:szCs w:val="21"/>
              </w:rPr>
              <w:t>本次发行完成后，</w:t>
            </w:r>
            <w:r>
              <w:rPr>
                <w:rFonts w:ascii="Arial" w:eastAsiaTheme="minorEastAsia" w:hAnsi="Arial" w:cs="Arial" w:hint="eastAsia"/>
                <w:b/>
                <w:szCs w:val="21"/>
              </w:rPr>
              <w:t>按照</w:t>
            </w:r>
            <w:r w:rsidRPr="00E93DE9">
              <w:rPr>
                <w:rFonts w:ascii="Arial" w:eastAsiaTheme="minorEastAsia" w:hAnsi="Arial" w:cs="Arial" w:hint="eastAsia"/>
                <w:b/>
                <w:szCs w:val="21"/>
              </w:rPr>
              <w:t>募集资金净额</w:t>
            </w:r>
            <w:r w:rsidRPr="00E93DE9">
              <w:rPr>
                <w:rFonts w:ascii="Arial" w:eastAsiaTheme="minorEastAsia" w:hAnsi="Arial" w:cs="Arial" w:hint="eastAsia"/>
                <w:b/>
                <w:szCs w:val="21"/>
              </w:rPr>
              <w:t>34.5</w:t>
            </w:r>
            <w:r w:rsidRPr="00E93DE9">
              <w:rPr>
                <w:rFonts w:ascii="Arial" w:eastAsiaTheme="minorEastAsia" w:hAnsi="Arial" w:cs="Arial" w:hint="eastAsia"/>
                <w:b/>
                <w:szCs w:val="21"/>
              </w:rPr>
              <w:t>亿元，</w:t>
            </w:r>
            <w:r>
              <w:rPr>
                <w:rFonts w:ascii="Arial" w:eastAsiaTheme="minorEastAsia" w:hAnsi="Arial" w:cs="Arial" w:hint="eastAsia"/>
                <w:b/>
                <w:szCs w:val="21"/>
              </w:rPr>
              <w:t>市价发行计算，</w:t>
            </w:r>
            <w:r w:rsidRPr="00E93DE9">
              <w:rPr>
                <w:rFonts w:ascii="Arial" w:eastAsiaTheme="minorEastAsia" w:hAnsi="Arial" w:cs="Arial" w:hint="eastAsia"/>
                <w:b/>
                <w:szCs w:val="21"/>
              </w:rPr>
              <w:t>将形成</w:t>
            </w:r>
            <w:r w:rsidRPr="00E93DE9">
              <w:rPr>
                <w:rFonts w:ascii="Arial" w:eastAsiaTheme="minorEastAsia" w:hAnsi="Arial" w:cs="Arial" w:hint="eastAsia"/>
                <w:b/>
                <w:szCs w:val="21"/>
              </w:rPr>
              <w:t>33.3</w:t>
            </w:r>
            <w:r>
              <w:rPr>
                <w:rFonts w:ascii="Arial" w:eastAsiaTheme="minorEastAsia" w:hAnsi="Arial" w:cs="Arial"/>
                <w:b/>
                <w:szCs w:val="21"/>
              </w:rPr>
              <w:t>5</w:t>
            </w:r>
            <w:r w:rsidRPr="00E93DE9">
              <w:rPr>
                <w:rFonts w:ascii="Arial" w:eastAsiaTheme="minorEastAsia" w:hAnsi="Arial" w:cs="Arial" w:hint="eastAsia"/>
                <w:b/>
                <w:szCs w:val="21"/>
              </w:rPr>
              <w:t>亿元的账面资本公积，使得资本公积大幅提升</w:t>
            </w:r>
            <w:r w:rsidRPr="00E93DE9">
              <w:rPr>
                <w:rFonts w:ascii="Arial" w:eastAsiaTheme="minorEastAsia" w:hAnsi="Arial" w:cs="Arial" w:hint="eastAsia"/>
                <w:b/>
                <w:szCs w:val="21"/>
              </w:rPr>
              <w:t>321</w:t>
            </w:r>
            <w:r w:rsidRPr="00E93DE9">
              <w:rPr>
                <w:rFonts w:ascii="Arial" w:eastAsiaTheme="minorEastAsia" w:hAnsi="Arial" w:cs="Arial"/>
                <w:b/>
                <w:szCs w:val="21"/>
              </w:rPr>
              <w:t>%</w:t>
            </w:r>
            <w:r w:rsidRPr="00E93DE9">
              <w:rPr>
                <w:rFonts w:ascii="Arial" w:eastAsiaTheme="minorEastAsia" w:hAnsi="Arial" w:cs="Arial"/>
                <w:b/>
                <w:szCs w:val="21"/>
              </w:rPr>
              <w:t>至</w:t>
            </w:r>
            <w:r w:rsidRPr="00E93DE9">
              <w:rPr>
                <w:rFonts w:ascii="Arial" w:eastAsiaTheme="minorEastAsia" w:hAnsi="Arial" w:cs="Arial" w:hint="eastAsia"/>
                <w:b/>
                <w:szCs w:val="21"/>
              </w:rPr>
              <w:t>48.4</w:t>
            </w:r>
            <w:r>
              <w:rPr>
                <w:rFonts w:ascii="Arial" w:eastAsiaTheme="minorEastAsia" w:hAnsi="Arial" w:cs="Arial"/>
                <w:b/>
                <w:szCs w:val="21"/>
              </w:rPr>
              <w:t>5</w:t>
            </w:r>
            <w:r w:rsidRPr="00E93DE9">
              <w:rPr>
                <w:rFonts w:ascii="Arial" w:eastAsiaTheme="minorEastAsia" w:hAnsi="Arial" w:cs="Arial" w:hint="eastAsia"/>
                <w:b/>
                <w:szCs w:val="21"/>
              </w:rPr>
              <w:t>亿</w:t>
            </w:r>
            <w:r>
              <w:rPr>
                <w:rFonts w:ascii="Arial" w:eastAsiaTheme="minorEastAsia" w:hAnsi="Arial" w:cs="Arial" w:hint="eastAsia"/>
                <w:b/>
                <w:szCs w:val="21"/>
              </w:rPr>
              <w:t>元，未来将作为股份转增的来源，为公司进一步提高股本数量，提升利润分配和股权</w:t>
            </w:r>
            <w:r w:rsidRPr="00E93DE9">
              <w:rPr>
                <w:rFonts w:ascii="Arial" w:eastAsiaTheme="minorEastAsia" w:hAnsi="Arial" w:cs="Arial" w:hint="eastAsia"/>
                <w:b/>
                <w:szCs w:val="21"/>
              </w:rPr>
              <w:t>融资空间提供有力保障。</w:t>
            </w:r>
          </w:p>
        </w:tc>
      </w:tr>
      <w:tr w:rsidR="00BF332A" w:rsidRPr="00020AE2" w:rsidTr="00A0139C">
        <w:trPr>
          <w:trHeight w:val="525"/>
          <w:jc w:val="center"/>
        </w:trPr>
        <w:tc>
          <w:tcPr>
            <w:tcW w:w="1134" w:type="dxa"/>
            <w:tcBorders>
              <w:top w:val="single" w:sz="4" w:space="0" w:color="auto"/>
              <w:left w:val="single" w:sz="4" w:space="0" w:color="auto"/>
              <w:bottom w:val="single" w:sz="4" w:space="0" w:color="auto"/>
              <w:right w:val="single" w:sz="4" w:space="0" w:color="auto"/>
            </w:tcBorders>
            <w:vAlign w:val="center"/>
          </w:tcPr>
          <w:p w:rsidR="00BF332A" w:rsidRPr="00020AE2" w:rsidRDefault="00BF332A" w:rsidP="00394A10">
            <w:pPr>
              <w:rPr>
                <w:rFonts w:ascii="Arial" w:eastAsiaTheme="minorEastAsia" w:hAnsi="Arial" w:cs="Arial"/>
                <w:bCs/>
                <w:iCs/>
                <w:szCs w:val="21"/>
              </w:rPr>
            </w:pPr>
            <w:r w:rsidRPr="00020AE2">
              <w:rPr>
                <w:rFonts w:ascii="Arial" w:eastAsiaTheme="minorEastAsia" w:hAnsiTheme="minorEastAsia" w:cs="Arial"/>
                <w:bCs/>
                <w:iCs/>
                <w:szCs w:val="21"/>
              </w:rPr>
              <w:lastRenderedPageBreak/>
              <w:t>附件清单</w:t>
            </w:r>
          </w:p>
        </w:tc>
        <w:tc>
          <w:tcPr>
            <w:tcW w:w="8768" w:type="dxa"/>
            <w:tcBorders>
              <w:top w:val="single" w:sz="4" w:space="0" w:color="auto"/>
              <w:left w:val="single" w:sz="4" w:space="0" w:color="auto"/>
              <w:bottom w:val="single" w:sz="4" w:space="0" w:color="auto"/>
              <w:right w:val="single" w:sz="4" w:space="0" w:color="auto"/>
            </w:tcBorders>
            <w:vAlign w:val="center"/>
          </w:tcPr>
          <w:p w:rsidR="00BF332A" w:rsidRPr="00020AE2" w:rsidRDefault="00BF332A" w:rsidP="00394A10">
            <w:pPr>
              <w:rPr>
                <w:rFonts w:ascii="Arial" w:eastAsiaTheme="minorEastAsia" w:hAnsi="Arial" w:cs="Arial"/>
                <w:szCs w:val="21"/>
              </w:rPr>
            </w:pPr>
            <w:r w:rsidRPr="00020AE2">
              <w:rPr>
                <w:rFonts w:ascii="Arial" w:eastAsiaTheme="minorEastAsia" w:hAnsi="Arial" w:cs="Arial"/>
                <w:szCs w:val="21"/>
              </w:rPr>
              <w:t>无</w:t>
            </w:r>
          </w:p>
        </w:tc>
      </w:tr>
      <w:tr w:rsidR="00BF332A" w:rsidRPr="00020AE2" w:rsidTr="00A0139C">
        <w:trPr>
          <w:trHeight w:val="463"/>
          <w:jc w:val="center"/>
        </w:trPr>
        <w:tc>
          <w:tcPr>
            <w:tcW w:w="1134" w:type="dxa"/>
            <w:tcBorders>
              <w:top w:val="single" w:sz="4" w:space="0" w:color="auto"/>
              <w:left w:val="single" w:sz="4" w:space="0" w:color="auto"/>
              <w:bottom w:val="single" w:sz="4" w:space="0" w:color="auto"/>
              <w:right w:val="single" w:sz="4" w:space="0" w:color="auto"/>
            </w:tcBorders>
            <w:vAlign w:val="center"/>
          </w:tcPr>
          <w:p w:rsidR="00BF332A" w:rsidRPr="00020AE2" w:rsidRDefault="00BF332A" w:rsidP="00394A10">
            <w:pPr>
              <w:rPr>
                <w:rFonts w:ascii="Arial" w:eastAsiaTheme="minorEastAsia" w:hAnsi="Arial" w:cs="Arial"/>
                <w:bCs/>
                <w:iCs/>
                <w:szCs w:val="21"/>
              </w:rPr>
            </w:pPr>
            <w:r w:rsidRPr="00020AE2">
              <w:rPr>
                <w:rFonts w:ascii="Arial" w:eastAsiaTheme="minorEastAsia" w:hAnsiTheme="minorEastAsia" w:cs="Arial"/>
                <w:bCs/>
                <w:iCs/>
                <w:szCs w:val="21"/>
              </w:rPr>
              <w:t>日期</w:t>
            </w:r>
          </w:p>
        </w:tc>
        <w:tc>
          <w:tcPr>
            <w:tcW w:w="8768" w:type="dxa"/>
            <w:tcBorders>
              <w:top w:val="single" w:sz="4" w:space="0" w:color="auto"/>
              <w:left w:val="single" w:sz="4" w:space="0" w:color="auto"/>
              <w:bottom w:val="single" w:sz="4" w:space="0" w:color="auto"/>
              <w:right w:val="single" w:sz="4" w:space="0" w:color="auto"/>
            </w:tcBorders>
            <w:vAlign w:val="center"/>
          </w:tcPr>
          <w:p w:rsidR="00BF332A" w:rsidRPr="00020AE2" w:rsidRDefault="00BF332A" w:rsidP="004F3FFC">
            <w:pPr>
              <w:rPr>
                <w:rFonts w:ascii="Arial" w:eastAsiaTheme="minorEastAsia" w:hAnsi="Arial" w:cs="Arial"/>
                <w:bCs/>
                <w:iCs/>
                <w:szCs w:val="21"/>
              </w:rPr>
            </w:pPr>
            <w:r w:rsidRPr="00020AE2">
              <w:rPr>
                <w:rFonts w:ascii="Arial" w:eastAsiaTheme="minorEastAsia" w:hAnsi="Arial" w:cs="Arial"/>
                <w:bCs/>
                <w:iCs/>
                <w:szCs w:val="21"/>
              </w:rPr>
              <w:t>201</w:t>
            </w:r>
            <w:r>
              <w:rPr>
                <w:rFonts w:ascii="Arial" w:eastAsiaTheme="minorEastAsia" w:hAnsi="Arial" w:cs="Arial" w:hint="eastAsia"/>
                <w:bCs/>
                <w:iCs/>
                <w:szCs w:val="21"/>
              </w:rPr>
              <w:t>6</w:t>
            </w:r>
            <w:r w:rsidRPr="00020AE2">
              <w:rPr>
                <w:rFonts w:ascii="Arial" w:eastAsiaTheme="minorEastAsia" w:hAnsi="Arial" w:cs="Arial"/>
                <w:bCs/>
                <w:iCs/>
                <w:szCs w:val="21"/>
              </w:rPr>
              <w:t>-</w:t>
            </w:r>
            <w:r>
              <w:rPr>
                <w:rFonts w:ascii="Arial" w:eastAsiaTheme="minorEastAsia" w:hAnsi="Arial" w:cs="Arial"/>
                <w:bCs/>
                <w:iCs/>
                <w:szCs w:val="21"/>
              </w:rPr>
              <w:t>9</w:t>
            </w:r>
            <w:r w:rsidRPr="00020AE2">
              <w:rPr>
                <w:rFonts w:ascii="Arial" w:eastAsiaTheme="minorEastAsia" w:hAnsi="Arial" w:cs="Arial"/>
                <w:bCs/>
                <w:iCs/>
                <w:szCs w:val="21"/>
              </w:rPr>
              <w:t>-</w:t>
            </w:r>
            <w:r>
              <w:rPr>
                <w:rFonts w:ascii="Arial" w:eastAsiaTheme="minorEastAsia" w:hAnsi="Arial" w:cs="Arial"/>
                <w:bCs/>
                <w:iCs/>
                <w:szCs w:val="21"/>
              </w:rPr>
              <w:t>28</w:t>
            </w:r>
          </w:p>
        </w:tc>
      </w:tr>
    </w:tbl>
    <w:p w:rsidR="00A334E0" w:rsidRPr="00020AE2" w:rsidRDefault="00A334E0" w:rsidP="006B659B">
      <w:pPr>
        <w:rPr>
          <w:rFonts w:ascii="Arial" w:hAnsi="Arial" w:cs="Arial"/>
        </w:rPr>
      </w:pPr>
    </w:p>
    <w:sectPr w:rsidR="00A334E0" w:rsidRPr="00020AE2" w:rsidSect="009F3BF3">
      <w:headerReference w:type="default" r:id="rId8"/>
      <w:footerReference w:type="default" r:id="rId9"/>
      <w:pgSz w:w="11906" w:h="16838"/>
      <w:pgMar w:top="851" w:right="1797" w:bottom="79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4BD" w:rsidRDefault="007144BD" w:rsidP="004315C8">
      <w:r>
        <w:separator/>
      </w:r>
    </w:p>
  </w:endnote>
  <w:endnote w:type="continuationSeparator" w:id="1">
    <w:p w:rsidR="007144BD" w:rsidRDefault="007144BD" w:rsidP="00431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23552"/>
      <w:docPartObj>
        <w:docPartGallery w:val="Page Numbers (Bottom of Page)"/>
        <w:docPartUnique/>
      </w:docPartObj>
    </w:sdtPr>
    <w:sdtContent>
      <w:p w:rsidR="007E11E0" w:rsidRDefault="007F3760" w:rsidP="00331101">
        <w:pPr>
          <w:pStyle w:val="a4"/>
          <w:jc w:val="center"/>
        </w:pPr>
        <w:r w:rsidRPr="007F3760">
          <w:fldChar w:fldCharType="begin"/>
        </w:r>
        <w:r w:rsidR="007E11E0">
          <w:instrText xml:space="preserve"> PAGE   \* MERGEFORMAT </w:instrText>
        </w:r>
        <w:r w:rsidRPr="007F3760">
          <w:fldChar w:fldCharType="separate"/>
        </w:r>
        <w:r w:rsidR="0094254E" w:rsidRPr="0094254E">
          <w:rPr>
            <w:noProof/>
            <w:lang w:val="zh-CN"/>
          </w:rPr>
          <w:t>2</w:t>
        </w:r>
        <w:r>
          <w:rPr>
            <w:noProof/>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4BD" w:rsidRDefault="007144BD" w:rsidP="004315C8">
      <w:r>
        <w:separator/>
      </w:r>
    </w:p>
  </w:footnote>
  <w:footnote w:type="continuationSeparator" w:id="1">
    <w:p w:rsidR="007144BD" w:rsidRDefault="007144BD" w:rsidP="00431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1E0" w:rsidRDefault="007E11E0" w:rsidP="002D7812">
    <w:pPr>
      <w:pStyle w:val="a3"/>
      <w:pBdr>
        <w:bottom w:val="single" w:sz="6" w:space="0" w:color="auto"/>
      </w:pBdr>
      <w:jc w:val="both"/>
    </w:pPr>
    <w:r>
      <w:rPr>
        <w:noProof/>
      </w:rPr>
      <w:drawing>
        <wp:inline distT="0" distB="0" distL="0" distR="0">
          <wp:extent cx="698500" cy="172720"/>
          <wp:effectExtent l="19050" t="0" r="6350" b="0"/>
          <wp:docPr id="2" name="图片 1" descr="大富科技LOGO110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大富科技LOGO110216"/>
                  <pic:cNvPicPr>
                    <a:picLocks noChangeAspect="1" noChangeArrowheads="1"/>
                  </pic:cNvPicPr>
                </pic:nvPicPr>
                <pic:blipFill>
                  <a:blip r:embed="rId1"/>
                  <a:srcRect/>
                  <a:stretch>
                    <a:fillRect/>
                  </a:stretch>
                </pic:blipFill>
                <pic:spPr bwMode="auto">
                  <a:xfrm>
                    <a:off x="0" y="0"/>
                    <a:ext cx="698500" cy="1727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753"/>
    <w:multiLevelType w:val="hybridMultilevel"/>
    <w:tmpl w:val="C11C09C6"/>
    <w:lvl w:ilvl="0" w:tplc="15C0E520">
      <w:start w:val="1"/>
      <w:numFmt w:val="decimal"/>
      <w:lvlText w:val="（%1）"/>
      <w:lvlJc w:val="left"/>
      <w:pPr>
        <w:ind w:left="1185" w:hanging="825"/>
      </w:pPr>
      <w:rPr>
        <w:rFonts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25795975"/>
    <w:multiLevelType w:val="hybridMultilevel"/>
    <w:tmpl w:val="2D986F44"/>
    <w:lvl w:ilvl="0" w:tplc="22DCCE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12051B2"/>
    <w:multiLevelType w:val="hybridMultilevel"/>
    <w:tmpl w:val="B19C5FDC"/>
    <w:lvl w:ilvl="0" w:tplc="3C94653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586A36"/>
    <w:multiLevelType w:val="hybridMultilevel"/>
    <w:tmpl w:val="BEBCE11A"/>
    <w:lvl w:ilvl="0" w:tplc="96EA256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E587D9A"/>
    <w:multiLevelType w:val="hybridMultilevel"/>
    <w:tmpl w:val="49968BC2"/>
    <w:lvl w:ilvl="0" w:tplc="32B2223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3E614485"/>
    <w:multiLevelType w:val="hybridMultilevel"/>
    <w:tmpl w:val="21F868DE"/>
    <w:lvl w:ilvl="0" w:tplc="318413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FC10895"/>
    <w:multiLevelType w:val="hybridMultilevel"/>
    <w:tmpl w:val="804C88E4"/>
    <w:lvl w:ilvl="0" w:tplc="DA80F1DE">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08A3DE0"/>
    <w:multiLevelType w:val="hybridMultilevel"/>
    <w:tmpl w:val="E83CE706"/>
    <w:lvl w:ilvl="0" w:tplc="2348E4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32E70AB"/>
    <w:multiLevelType w:val="hybridMultilevel"/>
    <w:tmpl w:val="583676DA"/>
    <w:lvl w:ilvl="0" w:tplc="0F8A71DA">
      <w:start w:val="1"/>
      <w:numFmt w:val="decimal"/>
      <w:lvlText w:val="%1."/>
      <w:lvlJc w:val="left"/>
      <w:pPr>
        <w:ind w:left="360" w:hanging="360"/>
      </w:pPr>
      <w:rPr>
        <w:rFonts w:hint="default"/>
      </w:rPr>
    </w:lvl>
    <w:lvl w:ilvl="1" w:tplc="04090011">
      <w:start w:val="1"/>
      <w:numFmt w:val="decimal"/>
      <w:lvlText w:val="%2)"/>
      <w:lvlJc w:val="left"/>
      <w:pPr>
        <w:ind w:left="1095" w:hanging="67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4424FB1"/>
    <w:multiLevelType w:val="hybridMultilevel"/>
    <w:tmpl w:val="E4982A74"/>
    <w:lvl w:ilvl="0" w:tplc="04090011">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496902EF"/>
    <w:multiLevelType w:val="hybridMultilevel"/>
    <w:tmpl w:val="F00212E0"/>
    <w:lvl w:ilvl="0" w:tplc="5DF03830">
      <w:start w:val="1"/>
      <w:numFmt w:val="decimal"/>
      <w:lvlText w:val="%1、"/>
      <w:lvlJc w:val="left"/>
      <w:pPr>
        <w:ind w:left="1400" w:hanging="720"/>
      </w:pPr>
      <w:rPr>
        <w:rFonts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11">
    <w:nsid w:val="5B6B5478"/>
    <w:multiLevelType w:val="hybridMultilevel"/>
    <w:tmpl w:val="F940C320"/>
    <w:lvl w:ilvl="0" w:tplc="D73A6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F614941"/>
    <w:multiLevelType w:val="hybridMultilevel"/>
    <w:tmpl w:val="FAA2AC1E"/>
    <w:lvl w:ilvl="0" w:tplc="0F8A71DA">
      <w:start w:val="1"/>
      <w:numFmt w:val="decimal"/>
      <w:lvlText w:val="%1."/>
      <w:lvlJc w:val="left"/>
      <w:pPr>
        <w:ind w:left="360" w:hanging="360"/>
      </w:pPr>
      <w:rPr>
        <w:rFonts w:hint="default"/>
      </w:rPr>
    </w:lvl>
    <w:lvl w:ilvl="1" w:tplc="70C25376">
      <w:start w:val="1"/>
      <w:numFmt w:val="decimal"/>
      <w:lvlText w:val="%2、"/>
      <w:lvlJc w:val="left"/>
      <w:pPr>
        <w:ind w:left="1095" w:hanging="67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E4E7B2C"/>
    <w:multiLevelType w:val="hybridMultilevel"/>
    <w:tmpl w:val="D26E8352"/>
    <w:lvl w:ilvl="0" w:tplc="961E72DC">
      <w:start w:val="1"/>
      <w:numFmt w:val="decimal"/>
      <w:lvlText w:val="%1."/>
      <w:lvlJc w:val="left"/>
      <w:pPr>
        <w:ind w:left="0" w:hanging="360"/>
      </w:pPr>
      <w:rPr>
        <w:rFonts w:hint="default"/>
      </w:rPr>
    </w:lvl>
    <w:lvl w:ilvl="1" w:tplc="04090019" w:tentative="1">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14">
    <w:nsid w:val="7598081C"/>
    <w:multiLevelType w:val="hybridMultilevel"/>
    <w:tmpl w:val="18CA7C68"/>
    <w:lvl w:ilvl="0" w:tplc="4306D1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BC5178B"/>
    <w:multiLevelType w:val="hybridMultilevel"/>
    <w:tmpl w:val="E798419E"/>
    <w:lvl w:ilvl="0" w:tplc="CA7438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12"/>
  </w:num>
  <w:num w:numId="3">
    <w:abstractNumId w:val="8"/>
  </w:num>
  <w:num w:numId="4">
    <w:abstractNumId w:val="9"/>
  </w:num>
  <w:num w:numId="5">
    <w:abstractNumId w:val="15"/>
  </w:num>
  <w:num w:numId="6">
    <w:abstractNumId w:val="2"/>
  </w:num>
  <w:num w:numId="7">
    <w:abstractNumId w:val="6"/>
  </w:num>
  <w:num w:numId="8">
    <w:abstractNumId w:val="5"/>
  </w:num>
  <w:num w:numId="9">
    <w:abstractNumId w:val="1"/>
  </w:num>
  <w:num w:numId="10">
    <w:abstractNumId w:val="11"/>
  </w:num>
  <w:num w:numId="11">
    <w:abstractNumId w:val="0"/>
  </w:num>
  <w:num w:numId="12">
    <w:abstractNumId w:val="10"/>
  </w:num>
  <w:num w:numId="13">
    <w:abstractNumId w:val="7"/>
  </w:num>
  <w:num w:numId="14">
    <w:abstractNumId w:val="4"/>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6E08"/>
    <w:rsid w:val="00000429"/>
    <w:rsid w:val="00000DAB"/>
    <w:rsid w:val="00001338"/>
    <w:rsid w:val="000047F7"/>
    <w:rsid w:val="000052BE"/>
    <w:rsid w:val="00005423"/>
    <w:rsid w:val="0000554D"/>
    <w:rsid w:val="00005765"/>
    <w:rsid w:val="000063BC"/>
    <w:rsid w:val="00006434"/>
    <w:rsid w:val="00007309"/>
    <w:rsid w:val="0000763B"/>
    <w:rsid w:val="00011926"/>
    <w:rsid w:val="00012725"/>
    <w:rsid w:val="00016A37"/>
    <w:rsid w:val="00020AE2"/>
    <w:rsid w:val="000219D2"/>
    <w:rsid w:val="00022677"/>
    <w:rsid w:val="0002505C"/>
    <w:rsid w:val="000255AF"/>
    <w:rsid w:val="00026293"/>
    <w:rsid w:val="000279C7"/>
    <w:rsid w:val="00027EB0"/>
    <w:rsid w:val="000332E2"/>
    <w:rsid w:val="00035FF5"/>
    <w:rsid w:val="00041122"/>
    <w:rsid w:val="000420C7"/>
    <w:rsid w:val="0004365D"/>
    <w:rsid w:val="00043E26"/>
    <w:rsid w:val="000509EC"/>
    <w:rsid w:val="000510B5"/>
    <w:rsid w:val="000510E1"/>
    <w:rsid w:val="000525D8"/>
    <w:rsid w:val="0005365C"/>
    <w:rsid w:val="00054716"/>
    <w:rsid w:val="000556E5"/>
    <w:rsid w:val="000557BC"/>
    <w:rsid w:val="00057359"/>
    <w:rsid w:val="000576E7"/>
    <w:rsid w:val="00057BB1"/>
    <w:rsid w:val="00060CF8"/>
    <w:rsid w:val="000627EA"/>
    <w:rsid w:val="00064AB0"/>
    <w:rsid w:val="00065A03"/>
    <w:rsid w:val="00065E1E"/>
    <w:rsid w:val="00067A29"/>
    <w:rsid w:val="00067E85"/>
    <w:rsid w:val="00071878"/>
    <w:rsid w:val="000718D8"/>
    <w:rsid w:val="0007303F"/>
    <w:rsid w:val="000752EF"/>
    <w:rsid w:val="000759BE"/>
    <w:rsid w:val="000762AF"/>
    <w:rsid w:val="00083134"/>
    <w:rsid w:val="00084DA4"/>
    <w:rsid w:val="00085868"/>
    <w:rsid w:val="00085E17"/>
    <w:rsid w:val="000864DD"/>
    <w:rsid w:val="00086D7A"/>
    <w:rsid w:val="00090C90"/>
    <w:rsid w:val="0009400A"/>
    <w:rsid w:val="00094393"/>
    <w:rsid w:val="00094572"/>
    <w:rsid w:val="00095BFD"/>
    <w:rsid w:val="000A0B4D"/>
    <w:rsid w:val="000A3A8B"/>
    <w:rsid w:val="000B0164"/>
    <w:rsid w:val="000B3565"/>
    <w:rsid w:val="000B6B8A"/>
    <w:rsid w:val="000B6CB3"/>
    <w:rsid w:val="000C1F2D"/>
    <w:rsid w:val="000C5CA0"/>
    <w:rsid w:val="000C7511"/>
    <w:rsid w:val="000D19FD"/>
    <w:rsid w:val="000D3759"/>
    <w:rsid w:val="000D3BBB"/>
    <w:rsid w:val="000D4821"/>
    <w:rsid w:val="000D633B"/>
    <w:rsid w:val="000D6C19"/>
    <w:rsid w:val="000D7B2D"/>
    <w:rsid w:val="000E4B73"/>
    <w:rsid w:val="000E5250"/>
    <w:rsid w:val="000E69A0"/>
    <w:rsid w:val="000E7225"/>
    <w:rsid w:val="000F233B"/>
    <w:rsid w:val="000F2EC6"/>
    <w:rsid w:val="000F7F22"/>
    <w:rsid w:val="00100BFA"/>
    <w:rsid w:val="001011B7"/>
    <w:rsid w:val="00104070"/>
    <w:rsid w:val="00111728"/>
    <w:rsid w:val="00113671"/>
    <w:rsid w:val="00116249"/>
    <w:rsid w:val="0011713F"/>
    <w:rsid w:val="0012049D"/>
    <w:rsid w:val="00122A5B"/>
    <w:rsid w:val="0012672F"/>
    <w:rsid w:val="0012690D"/>
    <w:rsid w:val="001304F3"/>
    <w:rsid w:val="00136035"/>
    <w:rsid w:val="00137749"/>
    <w:rsid w:val="0014000E"/>
    <w:rsid w:val="00140A50"/>
    <w:rsid w:val="001424D2"/>
    <w:rsid w:val="00142984"/>
    <w:rsid w:val="00143700"/>
    <w:rsid w:val="00145BC2"/>
    <w:rsid w:val="00147A6B"/>
    <w:rsid w:val="00147F5A"/>
    <w:rsid w:val="0015008D"/>
    <w:rsid w:val="00151246"/>
    <w:rsid w:val="00152762"/>
    <w:rsid w:val="00156813"/>
    <w:rsid w:val="001579EE"/>
    <w:rsid w:val="001610C5"/>
    <w:rsid w:val="001611AB"/>
    <w:rsid w:val="001614CB"/>
    <w:rsid w:val="001617C4"/>
    <w:rsid w:val="00161E0E"/>
    <w:rsid w:val="001642CB"/>
    <w:rsid w:val="001645AC"/>
    <w:rsid w:val="001662F9"/>
    <w:rsid w:val="00170395"/>
    <w:rsid w:val="001704F3"/>
    <w:rsid w:val="00170628"/>
    <w:rsid w:val="001711A4"/>
    <w:rsid w:val="00173934"/>
    <w:rsid w:val="0017600F"/>
    <w:rsid w:val="00177820"/>
    <w:rsid w:val="00181FBD"/>
    <w:rsid w:val="00183DF6"/>
    <w:rsid w:val="001925DB"/>
    <w:rsid w:val="00192C7E"/>
    <w:rsid w:val="00192CCB"/>
    <w:rsid w:val="00192D36"/>
    <w:rsid w:val="00193F0D"/>
    <w:rsid w:val="00194653"/>
    <w:rsid w:val="00194CCF"/>
    <w:rsid w:val="0019593B"/>
    <w:rsid w:val="00195DFC"/>
    <w:rsid w:val="001972CB"/>
    <w:rsid w:val="0019762A"/>
    <w:rsid w:val="001A069A"/>
    <w:rsid w:val="001A1958"/>
    <w:rsid w:val="001A27C2"/>
    <w:rsid w:val="001A4059"/>
    <w:rsid w:val="001A5934"/>
    <w:rsid w:val="001A72CC"/>
    <w:rsid w:val="001B33DF"/>
    <w:rsid w:val="001B3AC9"/>
    <w:rsid w:val="001B47A3"/>
    <w:rsid w:val="001B7531"/>
    <w:rsid w:val="001C125D"/>
    <w:rsid w:val="001C163B"/>
    <w:rsid w:val="001C17C3"/>
    <w:rsid w:val="001C4167"/>
    <w:rsid w:val="001C416B"/>
    <w:rsid w:val="001C5331"/>
    <w:rsid w:val="001C6C2D"/>
    <w:rsid w:val="001C7910"/>
    <w:rsid w:val="001D0188"/>
    <w:rsid w:val="001D1FE8"/>
    <w:rsid w:val="001D3498"/>
    <w:rsid w:val="001D4372"/>
    <w:rsid w:val="001D5CCA"/>
    <w:rsid w:val="001E0234"/>
    <w:rsid w:val="001E1F90"/>
    <w:rsid w:val="001E257A"/>
    <w:rsid w:val="001E608C"/>
    <w:rsid w:val="001E70D7"/>
    <w:rsid w:val="001F08A0"/>
    <w:rsid w:val="001F3596"/>
    <w:rsid w:val="001F423A"/>
    <w:rsid w:val="001F50A7"/>
    <w:rsid w:val="001F6483"/>
    <w:rsid w:val="001F750A"/>
    <w:rsid w:val="00200246"/>
    <w:rsid w:val="00200C4E"/>
    <w:rsid w:val="00205458"/>
    <w:rsid w:val="00206AAA"/>
    <w:rsid w:val="002077BE"/>
    <w:rsid w:val="002079A1"/>
    <w:rsid w:val="00212E9C"/>
    <w:rsid w:val="0021325B"/>
    <w:rsid w:val="00214188"/>
    <w:rsid w:val="00222C7F"/>
    <w:rsid w:val="00222FF3"/>
    <w:rsid w:val="00230298"/>
    <w:rsid w:val="00232896"/>
    <w:rsid w:val="00232A60"/>
    <w:rsid w:val="0023333C"/>
    <w:rsid w:val="0023558F"/>
    <w:rsid w:val="0023775D"/>
    <w:rsid w:val="00237E39"/>
    <w:rsid w:val="00241491"/>
    <w:rsid w:val="002448B7"/>
    <w:rsid w:val="0024572F"/>
    <w:rsid w:val="0024626D"/>
    <w:rsid w:val="00247F31"/>
    <w:rsid w:val="00256730"/>
    <w:rsid w:val="00257F1B"/>
    <w:rsid w:val="00261ACD"/>
    <w:rsid w:val="00261E54"/>
    <w:rsid w:val="00262259"/>
    <w:rsid w:val="002630BE"/>
    <w:rsid w:val="00263845"/>
    <w:rsid w:val="0026452A"/>
    <w:rsid w:val="0026617A"/>
    <w:rsid w:val="0026695B"/>
    <w:rsid w:val="00270CF2"/>
    <w:rsid w:val="0027151F"/>
    <w:rsid w:val="00271D37"/>
    <w:rsid w:val="00273F9B"/>
    <w:rsid w:val="00275D38"/>
    <w:rsid w:val="002802BB"/>
    <w:rsid w:val="0028293D"/>
    <w:rsid w:val="002839F4"/>
    <w:rsid w:val="00283DB1"/>
    <w:rsid w:val="0028413D"/>
    <w:rsid w:val="00290752"/>
    <w:rsid w:val="00292B70"/>
    <w:rsid w:val="00292DD8"/>
    <w:rsid w:val="002944C2"/>
    <w:rsid w:val="0029593D"/>
    <w:rsid w:val="0029751D"/>
    <w:rsid w:val="002A0548"/>
    <w:rsid w:val="002A2359"/>
    <w:rsid w:val="002A56E1"/>
    <w:rsid w:val="002A608D"/>
    <w:rsid w:val="002A7034"/>
    <w:rsid w:val="002A7AC3"/>
    <w:rsid w:val="002B12F7"/>
    <w:rsid w:val="002B1C0E"/>
    <w:rsid w:val="002B1F5B"/>
    <w:rsid w:val="002B25DE"/>
    <w:rsid w:val="002B2F1F"/>
    <w:rsid w:val="002B35A0"/>
    <w:rsid w:val="002B5E34"/>
    <w:rsid w:val="002B74E3"/>
    <w:rsid w:val="002B7A04"/>
    <w:rsid w:val="002C102C"/>
    <w:rsid w:val="002C1F55"/>
    <w:rsid w:val="002C45BF"/>
    <w:rsid w:val="002C5315"/>
    <w:rsid w:val="002D081F"/>
    <w:rsid w:val="002D15BE"/>
    <w:rsid w:val="002D1AC6"/>
    <w:rsid w:val="002D2FCF"/>
    <w:rsid w:val="002D6A0A"/>
    <w:rsid w:val="002D7699"/>
    <w:rsid w:val="002D7812"/>
    <w:rsid w:val="002E0F8C"/>
    <w:rsid w:val="002E373B"/>
    <w:rsid w:val="002E3BAC"/>
    <w:rsid w:val="002E70C0"/>
    <w:rsid w:val="002F4164"/>
    <w:rsid w:val="002F5F1D"/>
    <w:rsid w:val="002F67A2"/>
    <w:rsid w:val="00300732"/>
    <w:rsid w:val="00302063"/>
    <w:rsid w:val="00304176"/>
    <w:rsid w:val="0030531F"/>
    <w:rsid w:val="003055B5"/>
    <w:rsid w:val="0030562B"/>
    <w:rsid w:val="00306355"/>
    <w:rsid w:val="003079CC"/>
    <w:rsid w:val="00310078"/>
    <w:rsid w:val="00311431"/>
    <w:rsid w:val="0031297C"/>
    <w:rsid w:val="0031409E"/>
    <w:rsid w:val="003149D6"/>
    <w:rsid w:val="00320C26"/>
    <w:rsid w:val="00320F8F"/>
    <w:rsid w:val="0032128A"/>
    <w:rsid w:val="00321497"/>
    <w:rsid w:val="003234BB"/>
    <w:rsid w:val="00326A03"/>
    <w:rsid w:val="00326C63"/>
    <w:rsid w:val="003270BA"/>
    <w:rsid w:val="00331101"/>
    <w:rsid w:val="00331E22"/>
    <w:rsid w:val="00332980"/>
    <w:rsid w:val="00333BCC"/>
    <w:rsid w:val="00335CE8"/>
    <w:rsid w:val="00336080"/>
    <w:rsid w:val="00337E5B"/>
    <w:rsid w:val="00341145"/>
    <w:rsid w:val="003420DE"/>
    <w:rsid w:val="0034298B"/>
    <w:rsid w:val="00344D36"/>
    <w:rsid w:val="0034648E"/>
    <w:rsid w:val="003466B3"/>
    <w:rsid w:val="003476D1"/>
    <w:rsid w:val="00351A7B"/>
    <w:rsid w:val="003537B4"/>
    <w:rsid w:val="00354B93"/>
    <w:rsid w:val="00355E68"/>
    <w:rsid w:val="00357035"/>
    <w:rsid w:val="00360004"/>
    <w:rsid w:val="003604AC"/>
    <w:rsid w:val="0036207A"/>
    <w:rsid w:val="00363AD3"/>
    <w:rsid w:val="003644FB"/>
    <w:rsid w:val="00364AEC"/>
    <w:rsid w:val="00370350"/>
    <w:rsid w:val="00370674"/>
    <w:rsid w:val="0037194E"/>
    <w:rsid w:val="00372E17"/>
    <w:rsid w:val="00373331"/>
    <w:rsid w:val="00373FE9"/>
    <w:rsid w:val="003752B1"/>
    <w:rsid w:val="00376FAD"/>
    <w:rsid w:val="00377664"/>
    <w:rsid w:val="00377AC8"/>
    <w:rsid w:val="0038004F"/>
    <w:rsid w:val="003852C4"/>
    <w:rsid w:val="00385F7F"/>
    <w:rsid w:val="00391BC8"/>
    <w:rsid w:val="00391F34"/>
    <w:rsid w:val="003925EE"/>
    <w:rsid w:val="00392EE6"/>
    <w:rsid w:val="00394969"/>
    <w:rsid w:val="00394A10"/>
    <w:rsid w:val="00394A36"/>
    <w:rsid w:val="00394B20"/>
    <w:rsid w:val="00394BB6"/>
    <w:rsid w:val="003970D8"/>
    <w:rsid w:val="003A3A82"/>
    <w:rsid w:val="003A5F40"/>
    <w:rsid w:val="003B3BB5"/>
    <w:rsid w:val="003B4670"/>
    <w:rsid w:val="003B4DC0"/>
    <w:rsid w:val="003B4E83"/>
    <w:rsid w:val="003B536A"/>
    <w:rsid w:val="003B5CB0"/>
    <w:rsid w:val="003C0292"/>
    <w:rsid w:val="003C0FBE"/>
    <w:rsid w:val="003C1C64"/>
    <w:rsid w:val="003D07F1"/>
    <w:rsid w:val="003D2529"/>
    <w:rsid w:val="003D3A8E"/>
    <w:rsid w:val="003D3E75"/>
    <w:rsid w:val="003D43CF"/>
    <w:rsid w:val="003D4C69"/>
    <w:rsid w:val="003D6694"/>
    <w:rsid w:val="003D70E0"/>
    <w:rsid w:val="003E0E44"/>
    <w:rsid w:val="003E15F9"/>
    <w:rsid w:val="003E1829"/>
    <w:rsid w:val="003E35A7"/>
    <w:rsid w:val="003E470F"/>
    <w:rsid w:val="003E60BC"/>
    <w:rsid w:val="003E683A"/>
    <w:rsid w:val="003F342C"/>
    <w:rsid w:val="003F50BC"/>
    <w:rsid w:val="00401A81"/>
    <w:rsid w:val="00402BA1"/>
    <w:rsid w:val="0040641D"/>
    <w:rsid w:val="00407B8E"/>
    <w:rsid w:val="00412870"/>
    <w:rsid w:val="00413C87"/>
    <w:rsid w:val="00415FE1"/>
    <w:rsid w:val="00420519"/>
    <w:rsid w:val="00420F66"/>
    <w:rsid w:val="00421B15"/>
    <w:rsid w:val="00423C50"/>
    <w:rsid w:val="00423FCE"/>
    <w:rsid w:val="00425905"/>
    <w:rsid w:val="0042682C"/>
    <w:rsid w:val="00430B56"/>
    <w:rsid w:val="0043121F"/>
    <w:rsid w:val="004315C8"/>
    <w:rsid w:val="004341C8"/>
    <w:rsid w:val="00435EF6"/>
    <w:rsid w:val="00441D3C"/>
    <w:rsid w:val="00442926"/>
    <w:rsid w:val="004431C3"/>
    <w:rsid w:val="00443317"/>
    <w:rsid w:val="00444100"/>
    <w:rsid w:val="00445860"/>
    <w:rsid w:val="004500FE"/>
    <w:rsid w:val="00450734"/>
    <w:rsid w:val="00452F9B"/>
    <w:rsid w:val="00452F9E"/>
    <w:rsid w:val="00453D81"/>
    <w:rsid w:val="004542C6"/>
    <w:rsid w:val="004542D8"/>
    <w:rsid w:val="0045499B"/>
    <w:rsid w:val="00454D46"/>
    <w:rsid w:val="004562B1"/>
    <w:rsid w:val="00456BCB"/>
    <w:rsid w:val="004577AA"/>
    <w:rsid w:val="004606A9"/>
    <w:rsid w:val="00461484"/>
    <w:rsid w:val="00461DCD"/>
    <w:rsid w:val="00462B8C"/>
    <w:rsid w:val="0046756C"/>
    <w:rsid w:val="00473529"/>
    <w:rsid w:val="00474385"/>
    <w:rsid w:val="004758D2"/>
    <w:rsid w:val="00475AC3"/>
    <w:rsid w:val="004806EE"/>
    <w:rsid w:val="00480DA4"/>
    <w:rsid w:val="00482B20"/>
    <w:rsid w:val="00484566"/>
    <w:rsid w:val="004847FD"/>
    <w:rsid w:val="00484AA7"/>
    <w:rsid w:val="00484C5E"/>
    <w:rsid w:val="0048524D"/>
    <w:rsid w:val="00486DC9"/>
    <w:rsid w:val="0048785A"/>
    <w:rsid w:val="004919C2"/>
    <w:rsid w:val="0049367F"/>
    <w:rsid w:val="00494A54"/>
    <w:rsid w:val="00497DB3"/>
    <w:rsid w:val="004A1CDB"/>
    <w:rsid w:val="004A591F"/>
    <w:rsid w:val="004A6E2D"/>
    <w:rsid w:val="004B07A6"/>
    <w:rsid w:val="004B0A51"/>
    <w:rsid w:val="004B1014"/>
    <w:rsid w:val="004B134D"/>
    <w:rsid w:val="004B3F63"/>
    <w:rsid w:val="004B5A0A"/>
    <w:rsid w:val="004B6E62"/>
    <w:rsid w:val="004B72AC"/>
    <w:rsid w:val="004C034E"/>
    <w:rsid w:val="004C4F7C"/>
    <w:rsid w:val="004C576C"/>
    <w:rsid w:val="004C6358"/>
    <w:rsid w:val="004C72E2"/>
    <w:rsid w:val="004C7762"/>
    <w:rsid w:val="004D144A"/>
    <w:rsid w:val="004D3C72"/>
    <w:rsid w:val="004D3F31"/>
    <w:rsid w:val="004D41B7"/>
    <w:rsid w:val="004D4F01"/>
    <w:rsid w:val="004D5D93"/>
    <w:rsid w:val="004D63C5"/>
    <w:rsid w:val="004D7B8B"/>
    <w:rsid w:val="004E121C"/>
    <w:rsid w:val="004E12C4"/>
    <w:rsid w:val="004E6328"/>
    <w:rsid w:val="004F27CC"/>
    <w:rsid w:val="004F323A"/>
    <w:rsid w:val="004F37C0"/>
    <w:rsid w:val="004F3B55"/>
    <w:rsid w:val="004F3FFC"/>
    <w:rsid w:val="004F46F5"/>
    <w:rsid w:val="004F570B"/>
    <w:rsid w:val="004F6963"/>
    <w:rsid w:val="005016D5"/>
    <w:rsid w:val="0050308A"/>
    <w:rsid w:val="00505AEE"/>
    <w:rsid w:val="00506DC9"/>
    <w:rsid w:val="00507FE7"/>
    <w:rsid w:val="005101DE"/>
    <w:rsid w:val="00513A1D"/>
    <w:rsid w:val="00513D30"/>
    <w:rsid w:val="00513D87"/>
    <w:rsid w:val="00514975"/>
    <w:rsid w:val="00514A34"/>
    <w:rsid w:val="00517DAE"/>
    <w:rsid w:val="00522177"/>
    <w:rsid w:val="005252CF"/>
    <w:rsid w:val="00525AFD"/>
    <w:rsid w:val="00530D2E"/>
    <w:rsid w:val="0053222B"/>
    <w:rsid w:val="0053271A"/>
    <w:rsid w:val="00534378"/>
    <w:rsid w:val="0053585C"/>
    <w:rsid w:val="00535EDE"/>
    <w:rsid w:val="00537ADC"/>
    <w:rsid w:val="00537D3D"/>
    <w:rsid w:val="00540ADF"/>
    <w:rsid w:val="0054188D"/>
    <w:rsid w:val="0054254F"/>
    <w:rsid w:val="005436FB"/>
    <w:rsid w:val="00543B0A"/>
    <w:rsid w:val="00543B45"/>
    <w:rsid w:val="00544CAC"/>
    <w:rsid w:val="00544D04"/>
    <w:rsid w:val="005452C0"/>
    <w:rsid w:val="00547E5D"/>
    <w:rsid w:val="00550B7B"/>
    <w:rsid w:val="0055308F"/>
    <w:rsid w:val="00553F3E"/>
    <w:rsid w:val="00554244"/>
    <w:rsid w:val="0055742E"/>
    <w:rsid w:val="00557D2D"/>
    <w:rsid w:val="0056015F"/>
    <w:rsid w:val="00561049"/>
    <w:rsid w:val="00561588"/>
    <w:rsid w:val="00561EE8"/>
    <w:rsid w:val="00562EE5"/>
    <w:rsid w:val="005641D9"/>
    <w:rsid w:val="00565594"/>
    <w:rsid w:val="00566EC5"/>
    <w:rsid w:val="00570641"/>
    <w:rsid w:val="0057127C"/>
    <w:rsid w:val="0057287B"/>
    <w:rsid w:val="005732C3"/>
    <w:rsid w:val="005736FC"/>
    <w:rsid w:val="00574C41"/>
    <w:rsid w:val="00577754"/>
    <w:rsid w:val="0058198D"/>
    <w:rsid w:val="0058227D"/>
    <w:rsid w:val="0058381B"/>
    <w:rsid w:val="005841C6"/>
    <w:rsid w:val="00584D09"/>
    <w:rsid w:val="00585EEC"/>
    <w:rsid w:val="005861D4"/>
    <w:rsid w:val="00587744"/>
    <w:rsid w:val="0059241E"/>
    <w:rsid w:val="005930AC"/>
    <w:rsid w:val="00593A23"/>
    <w:rsid w:val="005958EE"/>
    <w:rsid w:val="005A004F"/>
    <w:rsid w:val="005A0828"/>
    <w:rsid w:val="005A0C94"/>
    <w:rsid w:val="005A0F83"/>
    <w:rsid w:val="005A1559"/>
    <w:rsid w:val="005A272B"/>
    <w:rsid w:val="005A4109"/>
    <w:rsid w:val="005A5EDE"/>
    <w:rsid w:val="005A69B6"/>
    <w:rsid w:val="005B0417"/>
    <w:rsid w:val="005B183F"/>
    <w:rsid w:val="005B1AF5"/>
    <w:rsid w:val="005B2716"/>
    <w:rsid w:val="005B2E1B"/>
    <w:rsid w:val="005B325F"/>
    <w:rsid w:val="005B47C7"/>
    <w:rsid w:val="005B4E71"/>
    <w:rsid w:val="005B5D57"/>
    <w:rsid w:val="005C17B5"/>
    <w:rsid w:val="005C3DEE"/>
    <w:rsid w:val="005C6094"/>
    <w:rsid w:val="005C67A9"/>
    <w:rsid w:val="005C70C8"/>
    <w:rsid w:val="005D001D"/>
    <w:rsid w:val="005D137D"/>
    <w:rsid w:val="005D15D9"/>
    <w:rsid w:val="005D2658"/>
    <w:rsid w:val="005D3152"/>
    <w:rsid w:val="005D4B14"/>
    <w:rsid w:val="005E0A53"/>
    <w:rsid w:val="005E26B4"/>
    <w:rsid w:val="005E2E16"/>
    <w:rsid w:val="005E57DE"/>
    <w:rsid w:val="005F2B09"/>
    <w:rsid w:val="005F3D5C"/>
    <w:rsid w:val="005F3EE8"/>
    <w:rsid w:val="005F4536"/>
    <w:rsid w:val="005F74AF"/>
    <w:rsid w:val="00600719"/>
    <w:rsid w:val="006008BB"/>
    <w:rsid w:val="00601721"/>
    <w:rsid w:val="00601BF6"/>
    <w:rsid w:val="00602C55"/>
    <w:rsid w:val="0060416B"/>
    <w:rsid w:val="00606A51"/>
    <w:rsid w:val="00606CCB"/>
    <w:rsid w:val="00610773"/>
    <w:rsid w:val="0061233F"/>
    <w:rsid w:val="00612D84"/>
    <w:rsid w:val="00621DA5"/>
    <w:rsid w:val="00621E1A"/>
    <w:rsid w:val="006242B5"/>
    <w:rsid w:val="0062458E"/>
    <w:rsid w:val="006252EB"/>
    <w:rsid w:val="0062569F"/>
    <w:rsid w:val="00625EBE"/>
    <w:rsid w:val="00630B19"/>
    <w:rsid w:val="00631A44"/>
    <w:rsid w:val="00631EEE"/>
    <w:rsid w:val="00632737"/>
    <w:rsid w:val="00633AD5"/>
    <w:rsid w:val="00634A08"/>
    <w:rsid w:val="00634E3B"/>
    <w:rsid w:val="0063616D"/>
    <w:rsid w:val="00637A9B"/>
    <w:rsid w:val="00640EBB"/>
    <w:rsid w:val="0064142D"/>
    <w:rsid w:val="006419CC"/>
    <w:rsid w:val="00645455"/>
    <w:rsid w:val="006506D3"/>
    <w:rsid w:val="006513DD"/>
    <w:rsid w:val="00652B1F"/>
    <w:rsid w:val="006534B2"/>
    <w:rsid w:val="0065391C"/>
    <w:rsid w:val="0065581B"/>
    <w:rsid w:val="0065676D"/>
    <w:rsid w:val="006607B9"/>
    <w:rsid w:val="0066251E"/>
    <w:rsid w:val="00665131"/>
    <w:rsid w:val="00665E35"/>
    <w:rsid w:val="006664FA"/>
    <w:rsid w:val="006669B3"/>
    <w:rsid w:val="0067082F"/>
    <w:rsid w:val="006717A9"/>
    <w:rsid w:val="006718C6"/>
    <w:rsid w:val="00671F07"/>
    <w:rsid w:val="00672510"/>
    <w:rsid w:val="00672B45"/>
    <w:rsid w:val="006738C8"/>
    <w:rsid w:val="00674E01"/>
    <w:rsid w:val="006813A6"/>
    <w:rsid w:val="00682980"/>
    <w:rsid w:val="00685799"/>
    <w:rsid w:val="006878A9"/>
    <w:rsid w:val="00690AC1"/>
    <w:rsid w:val="00692EC1"/>
    <w:rsid w:val="00696CD8"/>
    <w:rsid w:val="00696DCC"/>
    <w:rsid w:val="006A1EBD"/>
    <w:rsid w:val="006A2E7B"/>
    <w:rsid w:val="006A4D4D"/>
    <w:rsid w:val="006A5373"/>
    <w:rsid w:val="006A5C11"/>
    <w:rsid w:val="006A60A2"/>
    <w:rsid w:val="006A6143"/>
    <w:rsid w:val="006A7B50"/>
    <w:rsid w:val="006B407E"/>
    <w:rsid w:val="006B50F2"/>
    <w:rsid w:val="006B659B"/>
    <w:rsid w:val="006B78AB"/>
    <w:rsid w:val="006C0767"/>
    <w:rsid w:val="006C3874"/>
    <w:rsid w:val="006C57D2"/>
    <w:rsid w:val="006C5B0A"/>
    <w:rsid w:val="006C5C77"/>
    <w:rsid w:val="006C5C8A"/>
    <w:rsid w:val="006D23C4"/>
    <w:rsid w:val="006D58AC"/>
    <w:rsid w:val="006D6294"/>
    <w:rsid w:val="006D7258"/>
    <w:rsid w:val="006D7882"/>
    <w:rsid w:val="006E164B"/>
    <w:rsid w:val="006E4326"/>
    <w:rsid w:val="006E4AA5"/>
    <w:rsid w:val="006E54FE"/>
    <w:rsid w:val="006E7C02"/>
    <w:rsid w:val="006F1EC7"/>
    <w:rsid w:val="006F3AD1"/>
    <w:rsid w:val="006F5D8B"/>
    <w:rsid w:val="006F702F"/>
    <w:rsid w:val="006F7635"/>
    <w:rsid w:val="006F7B82"/>
    <w:rsid w:val="00700722"/>
    <w:rsid w:val="00703B17"/>
    <w:rsid w:val="007047C4"/>
    <w:rsid w:val="007051E8"/>
    <w:rsid w:val="0070605A"/>
    <w:rsid w:val="00706275"/>
    <w:rsid w:val="0070670F"/>
    <w:rsid w:val="00706A33"/>
    <w:rsid w:val="0071285A"/>
    <w:rsid w:val="00713740"/>
    <w:rsid w:val="007140CA"/>
    <w:rsid w:val="007144BD"/>
    <w:rsid w:val="00717675"/>
    <w:rsid w:val="00720296"/>
    <w:rsid w:val="007205B9"/>
    <w:rsid w:val="00720EE2"/>
    <w:rsid w:val="00722FC0"/>
    <w:rsid w:val="007232E0"/>
    <w:rsid w:val="00723386"/>
    <w:rsid w:val="0072558A"/>
    <w:rsid w:val="007270DC"/>
    <w:rsid w:val="007272F3"/>
    <w:rsid w:val="007312D9"/>
    <w:rsid w:val="00734C96"/>
    <w:rsid w:val="00735532"/>
    <w:rsid w:val="0073624F"/>
    <w:rsid w:val="00740F22"/>
    <w:rsid w:val="0074352F"/>
    <w:rsid w:val="0074372D"/>
    <w:rsid w:val="007442EA"/>
    <w:rsid w:val="007445B2"/>
    <w:rsid w:val="007500AE"/>
    <w:rsid w:val="00751D70"/>
    <w:rsid w:val="00752371"/>
    <w:rsid w:val="00753207"/>
    <w:rsid w:val="00756108"/>
    <w:rsid w:val="00756826"/>
    <w:rsid w:val="007605D1"/>
    <w:rsid w:val="00760BDA"/>
    <w:rsid w:val="00761D31"/>
    <w:rsid w:val="007624CE"/>
    <w:rsid w:val="00765295"/>
    <w:rsid w:val="00771CFB"/>
    <w:rsid w:val="007723AD"/>
    <w:rsid w:val="00773739"/>
    <w:rsid w:val="00774FE5"/>
    <w:rsid w:val="0077702B"/>
    <w:rsid w:val="0078009C"/>
    <w:rsid w:val="00780BCB"/>
    <w:rsid w:val="007837C6"/>
    <w:rsid w:val="00783CF0"/>
    <w:rsid w:val="00793C72"/>
    <w:rsid w:val="00797E10"/>
    <w:rsid w:val="007A51F6"/>
    <w:rsid w:val="007A6E71"/>
    <w:rsid w:val="007A79BC"/>
    <w:rsid w:val="007B03EF"/>
    <w:rsid w:val="007B413E"/>
    <w:rsid w:val="007B6982"/>
    <w:rsid w:val="007B7244"/>
    <w:rsid w:val="007B7FBF"/>
    <w:rsid w:val="007C16AB"/>
    <w:rsid w:val="007C7E8F"/>
    <w:rsid w:val="007D158D"/>
    <w:rsid w:val="007D3436"/>
    <w:rsid w:val="007D3B45"/>
    <w:rsid w:val="007D4473"/>
    <w:rsid w:val="007D4B4F"/>
    <w:rsid w:val="007D5068"/>
    <w:rsid w:val="007D673F"/>
    <w:rsid w:val="007D6824"/>
    <w:rsid w:val="007D7164"/>
    <w:rsid w:val="007D7B96"/>
    <w:rsid w:val="007D7DC9"/>
    <w:rsid w:val="007E11E0"/>
    <w:rsid w:val="007E1D47"/>
    <w:rsid w:val="007E2909"/>
    <w:rsid w:val="007E2C58"/>
    <w:rsid w:val="007E3FD4"/>
    <w:rsid w:val="007E6093"/>
    <w:rsid w:val="007E6370"/>
    <w:rsid w:val="007F01B9"/>
    <w:rsid w:val="007F2F26"/>
    <w:rsid w:val="007F3760"/>
    <w:rsid w:val="007F3D24"/>
    <w:rsid w:val="00800FCA"/>
    <w:rsid w:val="0080354F"/>
    <w:rsid w:val="00803A1B"/>
    <w:rsid w:val="00803AAA"/>
    <w:rsid w:val="00804085"/>
    <w:rsid w:val="0080409D"/>
    <w:rsid w:val="00806F78"/>
    <w:rsid w:val="00807F58"/>
    <w:rsid w:val="00810292"/>
    <w:rsid w:val="008109D4"/>
    <w:rsid w:val="00811082"/>
    <w:rsid w:val="00816DD4"/>
    <w:rsid w:val="008179F1"/>
    <w:rsid w:val="00817C87"/>
    <w:rsid w:val="00820437"/>
    <w:rsid w:val="008207FB"/>
    <w:rsid w:val="00821480"/>
    <w:rsid w:val="00821560"/>
    <w:rsid w:val="00824537"/>
    <w:rsid w:val="00830051"/>
    <w:rsid w:val="008323A1"/>
    <w:rsid w:val="00832666"/>
    <w:rsid w:val="0083501F"/>
    <w:rsid w:val="00835107"/>
    <w:rsid w:val="0083530D"/>
    <w:rsid w:val="0083573A"/>
    <w:rsid w:val="008358D7"/>
    <w:rsid w:val="008363D0"/>
    <w:rsid w:val="0084283A"/>
    <w:rsid w:val="00842A09"/>
    <w:rsid w:val="00843884"/>
    <w:rsid w:val="008518F8"/>
    <w:rsid w:val="00851F6D"/>
    <w:rsid w:val="00852276"/>
    <w:rsid w:val="00852681"/>
    <w:rsid w:val="00854980"/>
    <w:rsid w:val="008565B4"/>
    <w:rsid w:val="00860C7F"/>
    <w:rsid w:val="0086457F"/>
    <w:rsid w:val="008646B2"/>
    <w:rsid w:val="00864BA1"/>
    <w:rsid w:val="008661DB"/>
    <w:rsid w:val="008667BD"/>
    <w:rsid w:val="00866AC2"/>
    <w:rsid w:val="008705EE"/>
    <w:rsid w:val="00870D77"/>
    <w:rsid w:val="008750B8"/>
    <w:rsid w:val="00876174"/>
    <w:rsid w:val="008765BA"/>
    <w:rsid w:val="00881007"/>
    <w:rsid w:val="00883612"/>
    <w:rsid w:val="008848DC"/>
    <w:rsid w:val="00884CE4"/>
    <w:rsid w:val="008871EE"/>
    <w:rsid w:val="0088721D"/>
    <w:rsid w:val="008910A5"/>
    <w:rsid w:val="00892A6C"/>
    <w:rsid w:val="0089515F"/>
    <w:rsid w:val="008A2A06"/>
    <w:rsid w:val="008A37C7"/>
    <w:rsid w:val="008A73B7"/>
    <w:rsid w:val="008B1722"/>
    <w:rsid w:val="008B1F3E"/>
    <w:rsid w:val="008B30EC"/>
    <w:rsid w:val="008B5678"/>
    <w:rsid w:val="008B56F0"/>
    <w:rsid w:val="008B6603"/>
    <w:rsid w:val="008B76BE"/>
    <w:rsid w:val="008C02A5"/>
    <w:rsid w:val="008C090F"/>
    <w:rsid w:val="008C101E"/>
    <w:rsid w:val="008C1991"/>
    <w:rsid w:val="008C1CAE"/>
    <w:rsid w:val="008C4E18"/>
    <w:rsid w:val="008C5F5E"/>
    <w:rsid w:val="008D2D05"/>
    <w:rsid w:val="008D2FE4"/>
    <w:rsid w:val="008D34C6"/>
    <w:rsid w:val="008D39C3"/>
    <w:rsid w:val="008D3B5A"/>
    <w:rsid w:val="008D41CB"/>
    <w:rsid w:val="008D4982"/>
    <w:rsid w:val="008D5AAC"/>
    <w:rsid w:val="008D5EC7"/>
    <w:rsid w:val="008D6B75"/>
    <w:rsid w:val="008E0461"/>
    <w:rsid w:val="008E1AC0"/>
    <w:rsid w:val="008E1AFD"/>
    <w:rsid w:val="008E3903"/>
    <w:rsid w:val="008E4318"/>
    <w:rsid w:val="008E49F4"/>
    <w:rsid w:val="008E4C15"/>
    <w:rsid w:val="008E5F6C"/>
    <w:rsid w:val="008E622C"/>
    <w:rsid w:val="008E7079"/>
    <w:rsid w:val="008E741F"/>
    <w:rsid w:val="008E7B25"/>
    <w:rsid w:val="008E7D3E"/>
    <w:rsid w:val="008F1E50"/>
    <w:rsid w:val="008F59F4"/>
    <w:rsid w:val="008F74D1"/>
    <w:rsid w:val="008F78B4"/>
    <w:rsid w:val="00902704"/>
    <w:rsid w:val="00903D98"/>
    <w:rsid w:val="00903EEE"/>
    <w:rsid w:val="00904C92"/>
    <w:rsid w:val="00906CF5"/>
    <w:rsid w:val="00911319"/>
    <w:rsid w:val="009113AE"/>
    <w:rsid w:val="00912F8F"/>
    <w:rsid w:val="0091396A"/>
    <w:rsid w:val="009202F0"/>
    <w:rsid w:val="00920468"/>
    <w:rsid w:val="00920473"/>
    <w:rsid w:val="009210DB"/>
    <w:rsid w:val="00925815"/>
    <w:rsid w:val="0092645A"/>
    <w:rsid w:val="00926987"/>
    <w:rsid w:val="00926ECD"/>
    <w:rsid w:val="0092778B"/>
    <w:rsid w:val="00927E74"/>
    <w:rsid w:val="00933220"/>
    <w:rsid w:val="0093360E"/>
    <w:rsid w:val="00933F60"/>
    <w:rsid w:val="0093428C"/>
    <w:rsid w:val="0093557B"/>
    <w:rsid w:val="00936066"/>
    <w:rsid w:val="00936B38"/>
    <w:rsid w:val="00941BA5"/>
    <w:rsid w:val="0094254E"/>
    <w:rsid w:val="0094277E"/>
    <w:rsid w:val="009457FC"/>
    <w:rsid w:val="00946732"/>
    <w:rsid w:val="00951287"/>
    <w:rsid w:val="00951787"/>
    <w:rsid w:val="00951E79"/>
    <w:rsid w:val="00953C54"/>
    <w:rsid w:val="00953C71"/>
    <w:rsid w:val="00956E58"/>
    <w:rsid w:val="009576E3"/>
    <w:rsid w:val="00957E06"/>
    <w:rsid w:val="00960F9D"/>
    <w:rsid w:val="0096114E"/>
    <w:rsid w:val="00962D4B"/>
    <w:rsid w:val="009636CE"/>
    <w:rsid w:val="0096484C"/>
    <w:rsid w:val="00964B00"/>
    <w:rsid w:val="00964C4E"/>
    <w:rsid w:val="00965018"/>
    <w:rsid w:val="00965988"/>
    <w:rsid w:val="009667F4"/>
    <w:rsid w:val="00966870"/>
    <w:rsid w:val="00966CE2"/>
    <w:rsid w:val="0096782E"/>
    <w:rsid w:val="0097270A"/>
    <w:rsid w:val="009751DF"/>
    <w:rsid w:val="00984118"/>
    <w:rsid w:val="00984D9E"/>
    <w:rsid w:val="00985320"/>
    <w:rsid w:val="00987BAE"/>
    <w:rsid w:val="009917F6"/>
    <w:rsid w:val="0099397A"/>
    <w:rsid w:val="00993C7A"/>
    <w:rsid w:val="0099561C"/>
    <w:rsid w:val="00995A0B"/>
    <w:rsid w:val="00996121"/>
    <w:rsid w:val="00997600"/>
    <w:rsid w:val="009A14AE"/>
    <w:rsid w:val="009A38CD"/>
    <w:rsid w:val="009A4860"/>
    <w:rsid w:val="009A53FD"/>
    <w:rsid w:val="009A5A96"/>
    <w:rsid w:val="009A670C"/>
    <w:rsid w:val="009A6BFB"/>
    <w:rsid w:val="009A6C00"/>
    <w:rsid w:val="009A74A5"/>
    <w:rsid w:val="009A7ED8"/>
    <w:rsid w:val="009B0926"/>
    <w:rsid w:val="009B1224"/>
    <w:rsid w:val="009B2162"/>
    <w:rsid w:val="009B2959"/>
    <w:rsid w:val="009B59EE"/>
    <w:rsid w:val="009B7FF0"/>
    <w:rsid w:val="009C010E"/>
    <w:rsid w:val="009C20E4"/>
    <w:rsid w:val="009C49FE"/>
    <w:rsid w:val="009C63F5"/>
    <w:rsid w:val="009C7625"/>
    <w:rsid w:val="009D0CC0"/>
    <w:rsid w:val="009D2F55"/>
    <w:rsid w:val="009D495C"/>
    <w:rsid w:val="009D7A4F"/>
    <w:rsid w:val="009E1C53"/>
    <w:rsid w:val="009E2851"/>
    <w:rsid w:val="009E2B38"/>
    <w:rsid w:val="009E5CFB"/>
    <w:rsid w:val="009E5DCF"/>
    <w:rsid w:val="009E6E91"/>
    <w:rsid w:val="009E7AB0"/>
    <w:rsid w:val="009F018E"/>
    <w:rsid w:val="009F1E69"/>
    <w:rsid w:val="009F29BB"/>
    <w:rsid w:val="009F3BF3"/>
    <w:rsid w:val="00A0139C"/>
    <w:rsid w:val="00A017BD"/>
    <w:rsid w:val="00A028AE"/>
    <w:rsid w:val="00A05BE9"/>
    <w:rsid w:val="00A0779B"/>
    <w:rsid w:val="00A10DCB"/>
    <w:rsid w:val="00A10E74"/>
    <w:rsid w:val="00A11913"/>
    <w:rsid w:val="00A121D4"/>
    <w:rsid w:val="00A14539"/>
    <w:rsid w:val="00A17E2A"/>
    <w:rsid w:val="00A21732"/>
    <w:rsid w:val="00A24682"/>
    <w:rsid w:val="00A2487D"/>
    <w:rsid w:val="00A24F75"/>
    <w:rsid w:val="00A30A79"/>
    <w:rsid w:val="00A30B57"/>
    <w:rsid w:val="00A32A69"/>
    <w:rsid w:val="00A331B1"/>
    <w:rsid w:val="00A334E0"/>
    <w:rsid w:val="00A334F2"/>
    <w:rsid w:val="00A36A88"/>
    <w:rsid w:val="00A37FAA"/>
    <w:rsid w:val="00A417BE"/>
    <w:rsid w:val="00A426C4"/>
    <w:rsid w:val="00A4328F"/>
    <w:rsid w:val="00A43864"/>
    <w:rsid w:val="00A43F24"/>
    <w:rsid w:val="00A45DFA"/>
    <w:rsid w:val="00A473DB"/>
    <w:rsid w:val="00A53C82"/>
    <w:rsid w:val="00A55F2D"/>
    <w:rsid w:val="00A56A0D"/>
    <w:rsid w:val="00A56A93"/>
    <w:rsid w:val="00A57A29"/>
    <w:rsid w:val="00A614E9"/>
    <w:rsid w:val="00A61A89"/>
    <w:rsid w:val="00A63FE0"/>
    <w:rsid w:val="00A643B6"/>
    <w:rsid w:val="00A64E45"/>
    <w:rsid w:val="00A65C77"/>
    <w:rsid w:val="00A7246B"/>
    <w:rsid w:val="00A7291A"/>
    <w:rsid w:val="00A72C58"/>
    <w:rsid w:val="00A73BED"/>
    <w:rsid w:val="00A743F6"/>
    <w:rsid w:val="00A74FE7"/>
    <w:rsid w:val="00A7607B"/>
    <w:rsid w:val="00A7685C"/>
    <w:rsid w:val="00A769FA"/>
    <w:rsid w:val="00A81DFB"/>
    <w:rsid w:val="00A84E1F"/>
    <w:rsid w:val="00A87889"/>
    <w:rsid w:val="00A87FC4"/>
    <w:rsid w:val="00A909A9"/>
    <w:rsid w:val="00A90CEF"/>
    <w:rsid w:val="00A93031"/>
    <w:rsid w:val="00A93643"/>
    <w:rsid w:val="00A97A8B"/>
    <w:rsid w:val="00AA2263"/>
    <w:rsid w:val="00AA3B22"/>
    <w:rsid w:val="00AA6829"/>
    <w:rsid w:val="00AA6944"/>
    <w:rsid w:val="00AA6EAE"/>
    <w:rsid w:val="00AA7BDE"/>
    <w:rsid w:val="00AB21D5"/>
    <w:rsid w:val="00AB30C2"/>
    <w:rsid w:val="00AB3129"/>
    <w:rsid w:val="00AB3E66"/>
    <w:rsid w:val="00AB4254"/>
    <w:rsid w:val="00AB625F"/>
    <w:rsid w:val="00AB7236"/>
    <w:rsid w:val="00AB7731"/>
    <w:rsid w:val="00AC049B"/>
    <w:rsid w:val="00AC34D2"/>
    <w:rsid w:val="00AC64FB"/>
    <w:rsid w:val="00AD06C8"/>
    <w:rsid w:val="00AD1AB8"/>
    <w:rsid w:val="00AD4BA9"/>
    <w:rsid w:val="00AD6DEC"/>
    <w:rsid w:val="00AE0D17"/>
    <w:rsid w:val="00AE1004"/>
    <w:rsid w:val="00AE2720"/>
    <w:rsid w:val="00AE32AE"/>
    <w:rsid w:val="00AE5623"/>
    <w:rsid w:val="00AE6B45"/>
    <w:rsid w:val="00AF4FB5"/>
    <w:rsid w:val="00AF613D"/>
    <w:rsid w:val="00AF6AF1"/>
    <w:rsid w:val="00B018E7"/>
    <w:rsid w:val="00B0726A"/>
    <w:rsid w:val="00B07A48"/>
    <w:rsid w:val="00B1017A"/>
    <w:rsid w:val="00B10E10"/>
    <w:rsid w:val="00B1323E"/>
    <w:rsid w:val="00B13C03"/>
    <w:rsid w:val="00B17B10"/>
    <w:rsid w:val="00B20CFA"/>
    <w:rsid w:val="00B225D4"/>
    <w:rsid w:val="00B22857"/>
    <w:rsid w:val="00B24958"/>
    <w:rsid w:val="00B24A48"/>
    <w:rsid w:val="00B25D8F"/>
    <w:rsid w:val="00B30AAD"/>
    <w:rsid w:val="00B320BB"/>
    <w:rsid w:val="00B32308"/>
    <w:rsid w:val="00B33004"/>
    <w:rsid w:val="00B338DA"/>
    <w:rsid w:val="00B33BA2"/>
    <w:rsid w:val="00B402CF"/>
    <w:rsid w:val="00B4064F"/>
    <w:rsid w:val="00B40953"/>
    <w:rsid w:val="00B41001"/>
    <w:rsid w:val="00B420B9"/>
    <w:rsid w:val="00B42396"/>
    <w:rsid w:val="00B4359F"/>
    <w:rsid w:val="00B456E2"/>
    <w:rsid w:val="00B4656B"/>
    <w:rsid w:val="00B50DAD"/>
    <w:rsid w:val="00B53EC8"/>
    <w:rsid w:val="00B54553"/>
    <w:rsid w:val="00B560C1"/>
    <w:rsid w:val="00B56CD2"/>
    <w:rsid w:val="00B578ED"/>
    <w:rsid w:val="00B6009F"/>
    <w:rsid w:val="00B60392"/>
    <w:rsid w:val="00B620D9"/>
    <w:rsid w:val="00B6273E"/>
    <w:rsid w:val="00B62D7B"/>
    <w:rsid w:val="00B638D5"/>
    <w:rsid w:val="00B6415E"/>
    <w:rsid w:val="00B64492"/>
    <w:rsid w:val="00B65AFB"/>
    <w:rsid w:val="00B712C8"/>
    <w:rsid w:val="00B7192A"/>
    <w:rsid w:val="00B71ACF"/>
    <w:rsid w:val="00B721A5"/>
    <w:rsid w:val="00B721C0"/>
    <w:rsid w:val="00B73B83"/>
    <w:rsid w:val="00B76BB5"/>
    <w:rsid w:val="00B76FAB"/>
    <w:rsid w:val="00B833E1"/>
    <w:rsid w:val="00B84C8A"/>
    <w:rsid w:val="00B86BB8"/>
    <w:rsid w:val="00B90D3E"/>
    <w:rsid w:val="00B91523"/>
    <w:rsid w:val="00B924A8"/>
    <w:rsid w:val="00B92527"/>
    <w:rsid w:val="00B9252F"/>
    <w:rsid w:val="00B93D1D"/>
    <w:rsid w:val="00B9480E"/>
    <w:rsid w:val="00B97BBB"/>
    <w:rsid w:val="00BA0028"/>
    <w:rsid w:val="00BA13CF"/>
    <w:rsid w:val="00BA1D02"/>
    <w:rsid w:val="00BA1DD7"/>
    <w:rsid w:val="00BA2BB6"/>
    <w:rsid w:val="00BA3D5A"/>
    <w:rsid w:val="00BA421C"/>
    <w:rsid w:val="00BA4B17"/>
    <w:rsid w:val="00BA6ABE"/>
    <w:rsid w:val="00BB0D5C"/>
    <w:rsid w:val="00BB1DE4"/>
    <w:rsid w:val="00BB5221"/>
    <w:rsid w:val="00BB5275"/>
    <w:rsid w:val="00BB662E"/>
    <w:rsid w:val="00BC12C7"/>
    <w:rsid w:val="00BC1BF6"/>
    <w:rsid w:val="00BC455A"/>
    <w:rsid w:val="00BC48F1"/>
    <w:rsid w:val="00BC4D33"/>
    <w:rsid w:val="00BC5603"/>
    <w:rsid w:val="00BC72B4"/>
    <w:rsid w:val="00BC741F"/>
    <w:rsid w:val="00BD0094"/>
    <w:rsid w:val="00BD245A"/>
    <w:rsid w:val="00BD2B1F"/>
    <w:rsid w:val="00BD365B"/>
    <w:rsid w:val="00BD4565"/>
    <w:rsid w:val="00BD4CC4"/>
    <w:rsid w:val="00BD5BBD"/>
    <w:rsid w:val="00BD5D98"/>
    <w:rsid w:val="00BD61B6"/>
    <w:rsid w:val="00BE086E"/>
    <w:rsid w:val="00BE11F4"/>
    <w:rsid w:val="00BE28F4"/>
    <w:rsid w:val="00BE5C58"/>
    <w:rsid w:val="00BF151B"/>
    <w:rsid w:val="00BF15DA"/>
    <w:rsid w:val="00BF29F3"/>
    <w:rsid w:val="00BF332A"/>
    <w:rsid w:val="00BF4DD6"/>
    <w:rsid w:val="00C01C23"/>
    <w:rsid w:val="00C01CFF"/>
    <w:rsid w:val="00C037D1"/>
    <w:rsid w:val="00C03FAF"/>
    <w:rsid w:val="00C0473A"/>
    <w:rsid w:val="00C06D6C"/>
    <w:rsid w:val="00C1119D"/>
    <w:rsid w:val="00C12C1E"/>
    <w:rsid w:val="00C1375A"/>
    <w:rsid w:val="00C140B1"/>
    <w:rsid w:val="00C14F28"/>
    <w:rsid w:val="00C14F30"/>
    <w:rsid w:val="00C1527C"/>
    <w:rsid w:val="00C15333"/>
    <w:rsid w:val="00C16A06"/>
    <w:rsid w:val="00C17EE1"/>
    <w:rsid w:val="00C20461"/>
    <w:rsid w:val="00C21136"/>
    <w:rsid w:val="00C21DA4"/>
    <w:rsid w:val="00C24C30"/>
    <w:rsid w:val="00C24E41"/>
    <w:rsid w:val="00C27F59"/>
    <w:rsid w:val="00C30578"/>
    <w:rsid w:val="00C31A05"/>
    <w:rsid w:val="00C35D54"/>
    <w:rsid w:val="00C41417"/>
    <w:rsid w:val="00C41585"/>
    <w:rsid w:val="00C41ACA"/>
    <w:rsid w:val="00C43485"/>
    <w:rsid w:val="00C44E39"/>
    <w:rsid w:val="00C46280"/>
    <w:rsid w:val="00C46C9A"/>
    <w:rsid w:val="00C470DF"/>
    <w:rsid w:val="00C472A9"/>
    <w:rsid w:val="00C47D39"/>
    <w:rsid w:val="00C53456"/>
    <w:rsid w:val="00C53B2B"/>
    <w:rsid w:val="00C53FA5"/>
    <w:rsid w:val="00C551C5"/>
    <w:rsid w:val="00C5615B"/>
    <w:rsid w:val="00C56A59"/>
    <w:rsid w:val="00C56A9C"/>
    <w:rsid w:val="00C56C88"/>
    <w:rsid w:val="00C6012E"/>
    <w:rsid w:val="00C61161"/>
    <w:rsid w:val="00C64E8E"/>
    <w:rsid w:val="00C6587A"/>
    <w:rsid w:val="00C6769C"/>
    <w:rsid w:val="00C70100"/>
    <w:rsid w:val="00C7341B"/>
    <w:rsid w:val="00C74FCE"/>
    <w:rsid w:val="00C77C34"/>
    <w:rsid w:val="00C80173"/>
    <w:rsid w:val="00C81319"/>
    <w:rsid w:val="00C816C3"/>
    <w:rsid w:val="00C82EAF"/>
    <w:rsid w:val="00C85A0F"/>
    <w:rsid w:val="00C86059"/>
    <w:rsid w:val="00C86474"/>
    <w:rsid w:val="00C86DED"/>
    <w:rsid w:val="00C90240"/>
    <w:rsid w:val="00C911E1"/>
    <w:rsid w:val="00C91626"/>
    <w:rsid w:val="00C94688"/>
    <w:rsid w:val="00C94AAB"/>
    <w:rsid w:val="00C9577E"/>
    <w:rsid w:val="00C9595E"/>
    <w:rsid w:val="00C97E81"/>
    <w:rsid w:val="00CA14B9"/>
    <w:rsid w:val="00CA4831"/>
    <w:rsid w:val="00CA54E7"/>
    <w:rsid w:val="00CA57A4"/>
    <w:rsid w:val="00CA6E08"/>
    <w:rsid w:val="00CB0A48"/>
    <w:rsid w:val="00CB27DA"/>
    <w:rsid w:val="00CB32AC"/>
    <w:rsid w:val="00CB5275"/>
    <w:rsid w:val="00CB61E5"/>
    <w:rsid w:val="00CB6B74"/>
    <w:rsid w:val="00CB6E29"/>
    <w:rsid w:val="00CB7028"/>
    <w:rsid w:val="00CC2219"/>
    <w:rsid w:val="00CC305A"/>
    <w:rsid w:val="00CC3DDE"/>
    <w:rsid w:val="00CC4AFE"/>
    <w:rsid w:val="00CC7A5F"/>
    <w:rsid w:val="00CC7C39"/>
    <w:rsid w:val="00CD0A7A"/>
    <w:rsid w:val="00CD2768"/>
    <w:rsid w:val="00CD2BED"/>
    <w:rsid w:val="00CD40BF"/>
    <w:rsid w:val="00CD48C4"/>
    <w:rsid w:val="00CE28A2"/>
    <w:rsid w:val="00CE3751"/>
    <w:rsid w:val="00CE4C48"/>
    <w:rsid w:val="00CE70BA"/>
    <w:rsid w:val="00CE729D"/>
    <w:rsid w:val="00CF03B3"/>
    <w:rsid w:val="00CF22A1"/>
    <w:rsid w:val="00CF290F"/>
    <w:rsid w:val="00CF3759"/>
    <w:rsid w:val="00CF580A"/>
    <w:rsid w:val="00CF618C"/>
    <w:rsid w:val="00CF6B2E"/>
    <w:rsid w:val="00CF731C"/>
    <w:rsid w:val="00CF7869"/>
    <w:rsid w:val="00D019DC"/>
    <w:rsid w:val="00D03878"/>
    <w:rsid w:val="00D04CC0"/>
    <w:rsid w:val="00D07B6C"/>
    <w:rsid w:val="00D07FF0"/>
    <w:rsid w:val="00D106A3"/>
    <w:rsid w:val="00D10AE2"/>
    <w:rsid w:val="00D11C89"/>
    <w:rsid w:val="00D148BF"/>
    <w:rsid w:val="00D21C65"/>
    <w:rsid w:val="00D2228D"/>
    <w:rsid w:val="00D22AFF"/>
    <w:rsid w:val="00D25224"/>
    <w:rsid w:val="00D26B5F"/>
    <w:rsid w:val="00D27938"/>
    <w:rsid w:val="00D27A4A"/>
    <w:rsid w:val="00D31E94"/>
    <w:rsid w:val="00D31EA6"/>
    <w:rsid w:val="00D326B2"/>
    <w:rsid w:val="00D3483D"/>
    <w:rsid w:val="00D36C49"/>
    <w:rsid w:val="00D40190"/>
    <w:rsid w:val="00D41272"/>
    <w:rsid w:val="00D446F4"/>
    <w:rsid w:val="00D44B88"/>
    <w:rsid w:val="00D47505"/>
    <w:rsid w:val="00D5043C"/>
    <w:rsid w:val="00D52742"/>
    <w:rsid w:val="00D5333A"/>
    <w:rsid w:val="00D556A5"/>
    <w:rsid w:val="00D55CA6"/>
    <w:rsid w:val="00D57128"/>
    <w:rsid w:val="00D575A7"/>
    <w:rsid w:val="00D60CFB"/>
    <w:rsid w:val="00D6320B"/>
    <w:rsid w:val="00D63733"/>
    <w:rsid w:val="00D71675"/>
    <w:rsid w:val="00D72E18"/>
    <w:rsid w:val="00D73B20"/>
    <w:rsid w:val="00D7455B"/>
    <w:rsid w:val="00D77BD8"/>
    <w:rsid w:val="00D8198F"/>
    <w:rsid w:val="00D829BE"/>
    <w:rsid w:val="00D83EE6"/>
    <w:rsid w:val="00D841D6"/>
    <w:rsid w:val="00D85AC5"/>
    <w:rsid w:val="00D86250"/>
    <w:rsid w:val="00D94FCF"/>
    <w:rsid w:val="00D95A9D"/>
    <w:rsid w:val="00D9691B"/>
    <w:rsid w:val="00DA151F"/>
    <w:rsid w:val="00DA2346"/>
    <w:rsid w:val="00DA38AD"/>
    <w:rsid w:val="00DA4495"/>
    <w:rsid w:val="00DA6D4C"/>
    <w:rsid w:val="00DA753A"/>
    <w:rsid w:val="00DA769E"/>
    <w:rsid w:val="00DB0E05"/>
    <w:rsid w:val="00DB2AB6"/>
    <w:rsid w:val="00DB3501"/>
    <w:rsid w:val="00DB3D26"/>
    <w:rsid w:val="00DB41BF"/>
    <w:rsid w:val="00DB4B38"/>
    <w:rsid w:val="00DB5EA2"/>
    <w:rsid w:val="00DB60BB"/>
    <w:rsid w:val="00DC114A"/>
    <w:rsid w:val="00DC209A"/>
    <w:rsid w:val="00DC319B"/>
    <w:rsid w:val="00DC3A73"/>
    <w:rsid w:val="00DC455B"/>
    <w:rsid w:val="00DC4A1A"/>
    <w:rsid w:val="00DC54F2"/>
    <w:rsid w:val="00DC668D"/>
    <w:rsid w:val="00DC6F4D"/>
    <w:rsid w:val="00DC7D41"/>
    <w:rsid w:val="00DD165E"/>
    <w:rsid w:val="00DD1EDB"/>
    <w:rsid w:val="00DD551A"/>
    <w:rsid w:val="00DD6A08"/>
    <w:rsid w:val="00DD7794"/>
    <w:rsid w:val="00DD7ED6"/>
    <w:rsid w:val="00DE05AF"/>
    <w:rsid w:val="00DE0D0F"/>
    <w:rsid w:val="00DE30BD"/>
    <w:rsid w:val="00DE4332"/>
    <w:rsid w:val="00DE5EF1"/>
    <w:rsid w:val="00DE6CE8"/>
    <w:rsid w:val="00DE7D29"/>
    <w:rsid w:val="00DF0583"/>
    <w:rsid w:val="00DF42A5"/>
    <w:rsid w:val="00DF7BD5"/>
    <w:rsid w:val="00E005FF"/>
    <w:rsid w:val="00E00C6D"/>
    <w:rsid w:val="00E05635"/>
    <w:rsid w:val="00E065FA"/>
    <w:rsid w:val="00E07B27"/>
    <w:rsid w:val="00E11F6B"/>
    <w:rsid w:val="00E14125"/>
    <w:rsid w:val="00E15DE7"/>
    <w:rsid w:val="00E16DFA"/>
    <w:rsid w:val="00E17672"/>
    <w:rsid w:val="00E17824"/>
    <w:rsid w:val="00E21853"/>
    <w:rsid w:val="00E27A81"/>
    <w:rsid w:val="00E27AEC"/>
    <w:rsid w:val="00E30C83"/>
    <w:rsid w:val="00E34CEE"/>
    <w:rsid w:val="00E35706"/>
    <w:rsid w:val="00E36075"/>
    <w:rsid w:val="00E370CA"/>
    <w:rsid w:val="00E37509"/>
    <w:rsid w:val="00E379F8"/>
    <w:rsid w:val="00E428E4"/>
    <w:rsid w:val="00E44053"/>
    <w:rsid w:val="00E457F7"/>
    <w:rsid w:val="00E468BF"/>
    <w:rsid w:val="00E50195"/>
    <w:rsid w:val="00E5046F"/>
    <w:rsid w:val="00E523AC"/>
    <w:rsid w:val="00E53395"/>
    <w:rsid w:val="00E53FE5"/>
    <w:rsid w:val="00E54CC2"/>
    <w:rsid w:val="00E569C0"/>
    <w:rsid w:val="00E57BA3"/>
    <w:rsid w:val="00E57E94"/>
    <w:rsid w:val="00E606D3"/>
    <w:rsid w:val="00E62464"/>
    <w:rsid w:val="00E62629"/>
    <w:rsid w:val="00E62CB4"/>
    <w:rsid w:val="00E6462A"/>
    <w:rsid w:val="00E648AD"/>
    <w:rsid w:val="00E66DD2"/>
    <w:rsid w:val="00E670B6"/>
    <w:rsid w:val="00E67382"/>
    <w:rsid w:val="00E71C2F"/>
    <w:rsid w:val="00E72472"/>
    <w:rsid w:val="00E72D71"/>
    <w:rsid w:val="00E7451F"/>
    <w:rsid w:val="00E746F7"/>
    <w:rsid w:val="00E7679F"/>
    <w:rsid w:val="00E7750A"/>
    <w:rsid w:val="00E80801"/>
    <w:rsid w:val="00E8151F"/>
    <w:rsid w:val="00E81B27"/>
    <w:rsid w:val="00E84B61"/>
    <w:rsid w:val="00E86C5B"/>
    <w:rsid w:val="00E915A0"/>
    <w:rsid w:val="00E92BAE"/>
    <w:rsid w:val="00E93164"/>
    <w:rsid w:val="00E9327E"/>
    <w:rsid w:val="00E93DE9"/>
    <w:rsid w:val="00E95B64"/>
    <w:rsid w:val="00E968A5"/>
    <w:rsid w:val="00E96C3D"/>
    <w:rsid w:val="00E96C7A"/>
    <w:rsid w:val="00E96F96"/>
    <w:rsid w:val="00EA0048"/>
    <w:rsid w:val="00EA0270"/>
    <w:rsid w:val="00EA1123"/>
    <w:rsid w:val="00EA16C2"/>
    <w:rsid w:val="00EA25A1"/>
    <w:rsid w:val="00EA7614"/>
    <w:rsid w:val="00EB3531"/>
    <w:rsid w:val="00EB382D"/>
    <w:rsid w:val="00EB44B4"/>
    <w:rsid w:val="00EB4ECA"/>
    <w:rsid w:val="00EB5E5D"/>
    <w:rsid w:val="00EB6BB3"/>
    <w:rsid w:val="00EB6D01"/>
    <w:rsid w:val="00EC0184"/>
    <w:rsid w:val="00EC0976"/>
    <w:rsid w:val="00EC3DD4"/>
    <w:rsid w:val="00EC5BBB"/>
    <w:rsid w:val="00EC6D91"/>
    <w:rsid w:val="00EC7141"/>
    <w:rsid w:val="00ED0288"/>
    <w:rsid w:val="00ED15F4"/>
    <w:rsid w:val="00ED1DC8"/>
    <w:rsid w:val="00ED33C7"/>
    <w:rsid w:val="00ED3E7C"/>
    <w:rsid w:val="00ED7A4A"/>
    <w:rsid w:val="00EE2E02"/>
    <w:rsid w:val="00EE37C9"/>
    <w:rsid w:val="00EE4A92"/>
    <w:rsid w:val="00EE5F6C"/>
    <w:rsid w:val="00EE649A"/>
    <w:rsid w:val="00EE6AC3"/>
    <w:rsid w:val="00EE74B2"/>
    <w:rsid w:val="00EF2787"/>
    <w:rsid w:val="00EF4711"/>
    <w:rsid w:val="00EF5709"/>
    <w:rsid w:val="00EF5FB2"/>
    <w:rsid w:val="00F013D9"/>
    <w:rsid w:val="00F032E7"/>
    <w:rsid w:val="00F033CA"/>
    <w:rsid w:val="00F05CB7"/>
    <w:rsid w:val="00F05FBC"/>
    <w:rsid w:val="00F07857"/>
    <w:rsid w:val="00F079EB"/>
    <w:rsid w:val="00F11AB7"/>
    <w:rsid w:val="00F120AA"/>
    <w:rsid w:val="00F15EE3"/>
    <w:rsid w:val="00F17027"/>
    <w:rsid w:val="00F2542D"/>
    <w:rsid w:val="00F355A0"/>
    <w:rsid w:val="00F368D3"/>
    <w:rsid w:val="00F4004A"/>
    <w:rsid w:val="00F40CE6"/>
    <w:rsid w:val="00F417E0"/>
    <w:rsid w:val="00F425F3"/>
    <w:rsid w:val="00F522AC"/>
    <w:rsid w:val="00F5274E"/>
    <w:rsid w:val="00F53D62"/>
    <w:rsid w:val="00F564EF"/>
    <w:rsid w:val="00F565DE"/>
    <w:rsid w:val="00F566A5"/>
    <w:rsid w:val="00F567AD"/>
    <w:rsid w:val="00F62ADA"/>
    <w:rsid w:val="00F64E52"/>
    <w:rsid w:val="00F66A69"/>
    <w:rsid w:val="00F771C6"/>
    <w:rsid w:val="00F82754"/>
    <w:rsid w:val="00F8315D"/>
    <w:rsid w:val="00F8442D"/>
    <w:rsid w:val="00F86162"/>
    <w:rsid w:val="00F91729"/>
    <w:rsid w:val="00F91ECB"/>
    <w:rsid w:val="00F9217C"/>
    <w:rsid w:val="00F9221A"/>
    <w:rsid w:val="00F92E10"/>
    <w:rsid w:val="00F97896"/>
    <w:rsid w:val="00F97AA9"/>
    <w:rsid w:val="00FA01D0"/>
    <w:rsid w:val="00FA1B80"/>
    <w:rsid w:val="00FA1D3E"/>
    <w:rsid w:val="00FA343F"/>
    <w:rsid w:val="00FB0A5E"/>
    <w:rsid w:val="00FB682C"/>
    <w:rsid w:val="00FB78ED"/>
    <w:rsid w:val="00FB7D82"/>
    <w:rsid w:val="00FC1714"/>
    <w:rsid w:val="00FC2B99"/>
    <w:rsid w:val="00FC2E20"/>
    <w:rsid w:val="00FC520B"/>
    <w:rsid w:val="00FC6C90"/>
    <w:rsid w:val="00FC7BDB"/>
    <w:rsid w:val="00FC7F90"/>
    <w:rsid w:val="00FD19D2"/>
    <w:rsid w:val="00FD1E5C"/>
    <w:rsid w:val="00FD224D"/>
    <w:rsid w:val="00FD56F5"/>
    <w:rsid w:val="00FD69BA"/>
    <w:rsid w:val="00FD7D38"/>
    <w:rsid w:val="00FE1C4B"/>
    <w:rsid w:val="00FE4271"/>
    <w:rsid w:val="00FE4DED"/>
    <w:rsid w:val="00FE61C2"/>
    <w:rsid w:val="00FE6523"/>
    <w:rsid w:val="00FE7260"/>
    <w:rsid w:val="00FF217B"/>
    <w:rsid w:val="00FF50E8"/>
    <w:rsid w:val="00FF5697"/>
    <w:rsid w:val="00FF5922"/>
    <w:rsid w:val="00FF6A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E08"/>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7312D9"/>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15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15C8"/>
    <w:rPr>
      <w:rFonts w:ascii="Times New Roman" w:eastAsia="宋体" w:hAnsi="Times New Roman" w:cs="Times New Roman"/>
      <w:sz w:val="18"/>
      <w:szCs w:val="18"/>
    </w:rPr>
  </w:style>
  <w:style w:type="paragraph" w:styleId="a4">
    <w:name w:val="footer"/>
    <w:basedOn w:val="a"/>
    <w:link w:val="Char0"/>
    <w:uiPriority w:val="99"/>
    <w:unhideWhenUsed/>
    <w:rsid w:val="004315C8"/>
    <w:pPr>
      <w:tabs>
        <w:tab w:val="center" w:pos="4153"/>
        <w:tab w:val="right" w:pos="8306"/>
      </w:tabs>
      <w:snapToGrid w:val="0"/>
      <w:jc w:val="left"/>
    </w:pPr>
    <w:rPr>
      <w:sz w:val="18"/>
      <w:szCs w:val="18"/>
    </w:rPr>
  </w:style>
  <w:style w:type="character" w:customStyle="1" w:styleId="Char0">
    <w:name w:val="页脚 Char"/>
    <w:basedOn w:val="a0"/>
    <w:link w:val="a4"/>
    <w:uiPriority w:val="99"/>
    <w:rsid w:val="004315C8"/>
    <w:rPr>
      <w:rFonts w:ascii="Times New Roman" w:eastAsia="宋体" w:hAnsi="Times New Roman" w:cs="Times New Roman"/>
      <w:sz w:val="18"/>
      <w:szCs w:val="18"/>
    </w:rPr>
  </w:style>
  <w:style w:type="paragraph" w:styleId="a5">
    <w:name w:val="List Paragraph"/>
    <w:basedOn w:val="a"/>
    <w:uiPriority w:val="34"/>
    <w:qFormat/>
    <w:rsid w:val="00B71ACF"/>
    <w:pPr>
      <w:ind w:firstLineChars="200" w:firstLine="420"/>
    </w:pPr>
  </w:style>
  <w:style w:type="paragraph" w:styleId="a6">
    <w:name w:val="Balloon Text"/>
    <w:basedOn w:val="a"/>
    <w:link w:val="Char1"/>
    <w:uiPriority w:val="99"/>
    <w:semiHidden/>
    <w:unhideWhenUsed/>
    <w:rsid w:val="00F64E52"/>
    <w:rPr>
      <w:sz w:val="18"/>
      <w:szCs w:val="18"/>
    </w:rPr>
  </w:style>
  <w:style w:type="character" w:customStyle="1" w:styleId="Char1">
    <w:name w:val="批注框文本 Char"/>
    <w:basedOn w:val="a0"/>
    <w:link w:val="a6"/>
    <w:uiPriority w:val="99"/>
    <w:semiHidden/>
    <w:rsid w:val="00F64E52"/>
    <w:rPr>
      <w:rFonts w:ascii="Times New Roman" w:eastAsia="宋体" w:hAnsi="Times New Roman" w:cs="Times New Roman"/>
      <w:sz w:val="18"/>
      <w:szCs w:val="18"/>
    </w:rPr>
  </w:style>
  <w:style w:type="paragraph" w:customStyle="1" w:styleId="Section">
    <w:name w:val="Section"/>
    <w:next w:val="a"/>
    <w:uiPriority w:val="99"/>
    <w:rsid w:val="009A4860"/>
    <w:pPr>
      <w:keepNext/>
      <w:keepLines/>
      <w:widowControl w:val="0"/>
      <w:spacing w:before="300" w:after="300" w:line="241" w:lineRule="auto"/>
      <w:jc w:val="both"/>
    </w:pPr>
    <w:rPr>
      <w:rFonts w:ascii="Times New Roman" w:eastAsia="宋体" w:hAnsi="Times New Roman" w:cs="Times New Roman"/>
      <w:b/>
      <w:bCs/>
      <w:kern w:val="28"/>
      <w:szCs w:val="21"/>
    </w:rPr>
  </w:style>
  <w:style w:type="character" w:customStyle="1" w:styleId="txtcontent1">
    <w:name w:val="txtcontent1"/>
    <w:basedOn w:val="a0"/>
    <w:rsid w:val="00800FCA"/>
  </w:style>
  <w:style w:type="paragraph" w:customStyle="1" w:styleId="Default">
    <w:name w:val="Default"/>
    <w:rsid w:val="00A53C82"/>
    <w:pPr>
      <w:widowControl w:val="0"/>
      <w:autoSpaceDE w:val="0"/>
      <w:autoSpaceDN w:val="0"/>
      <w:adjustRightInd w:val="0"/>
    </w:pPr>
    <w:rPr>
      <w:rFonts w:ascii="Arial" w:hAnsi="Arial" w:cs="Arial"/>
      <w:color w:val="000000"/>
      <w:kern w:val="0"/>
      <w:sz w:val="24"/>
      <w:szCs w:val="24"/>
    </w:rPr>
  </w:style>
  <w:style w:type="character" w:styleId="a7">
    <w:name w:val="annotation reference"/>
    <w:basedOn w:val="a0"/>
    <w:uiPriority w:val="99"/>
    <w:semiHidden/>
    <w:unhideWhenUsed/>
    <w:rsid w:val="00262259"/>
    <w:rPr>
      <w:sz w:val="21"/>
      <w:szCs w:val="21"/>
    </w:rPr>
  </w:style>
  <w:style w:type="paragraph" w:styleId="a8">
    <w:name w:val="annotation text"/>
    <w:basedOn w:val="a"/>
    <w:link w:val="Char2"/>
    <w:uiPriority w:val="99"/>
    <w:semiHidden/>
    <w:unhideWhenUsed/>
    <w:rsid w:val="00262259"/>
    <w:pPr>
      <w:jc w:val="left"/>
    </w:pPr>
  </w:style>
  <w:style w:type="character" w:customStyle="1" w:styleId="Char2">
    <w:name w:val="批注文字 Char"/>
    <w:basedOn w:val="a0"/>
    <w:link w:val="a8"/>
    <w:uiPriority w:val="99"/>
    <w:semiHidden/>
    <w:rsid w:val="00262259"/>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262259"/>
    <w:rPr>
      <w:b/>
      <w:bCs/>
    </w:rPr>
  </w:style>
  <w:style w:type="character" w:customStyle="1" w:styleId="Char3">
    <w:name w:val="批注主题 Char"/>
    <w:basedOn w:val="Char2"/>
    <w:link w:val="a9"/>
    <w:uiPriority w:val="99"/>
    <w:semiHidden/>
    <w:rsid w:val="00262259"/>
    <w:rPr>
      <w:rFonts w:ascii="Times New Roman" w:eastAsia="宋体" w:hAnsi="Times New Roman" w:cs="Times New Roman"/>
      <w:b/>
      <w:bCs/>
      <w:szCs w:val="24"/>
    </w:rPr>
  </w:style>
  <w:style w:type="paragraph" w:styleId="aa">
    <w:name w:val="No Spacing"/>
    <w:link w:val="Char4"/>
    <w:uiPriority w:val="1"/>
    <w:qFormat/>
    <w:rsid w:val="00A7607B"/>
    <w:rPr>
      <w:kern w:val="0"/>
      <w:sz w:val="22"/>
    </w:rPr>
  </w:style>
  <w:style w:type="character" w:customStyle="1" w:styleId="Char4">
    <w:name w:val="无间隔 Char"/>
    <w:basedOn w:val="a0"/>
    <w:link w:val="aa"/>
    <w:uiPriority w:val="1"/>
    <w:rsid w:val="00A7607B"/>
    <w:rPr>
      <w:kern w:val="0"/>
      <w:sz w:val="22"/>
    </w:rPr>
  </w:style>
  <w:style w:type="paragraph" w:styleId="ab">
    <w:name w:val="Revision"/>
    <w:hidden/>
    <w:uiPriority w:val="99"/>
    <w:semiHidden/>
    <w:rsid w:val="00A84E1F"/>
    <w:rPr>
      <w:rFonts w:ascii="Times New Roman" w:eastAsia="宋体" w:hAnsi="Times New Roman" w:cs="Times New Roman"/>
      <w:szCs w:val="24"/>
    </w:rPr>
  </w:style>
  <w:style w:type="character" w:customStyle="1" w:styleId="txtcontent11">
    <w:name w:val="txtcontent11"/>
    <w:basedOn w:val="a0"/>
    <w:rsid w:val="002079A1"/>
    <w:rPr>
      <w:rFonts w:ascii="ˎ̥" w:hAnsi="ˎ̥" w:hint="default"/>
      <w:b w:val="0"/>
      <w:bCs w:val="0"/>
      <w:color w:val="000000"/>
      <w:sz w:val="21"/>
      <w:szCs w:val="21"/>
    </w:rPr>
  </w:style>
  <w:style w:type="paragraph" w:styleId="ac">
    <w:name w:val="Normal (Web)"/>
    <w:basedOn w:val="a"/>
    <w:uiPriority w:val="99"/>
    <w:semiHidden/>
    <w:unhideWhenUsed/>
    <w:rsid w:val="00912F8F"/>
    <w:pPr>
      <w:widowControl/>
      <w:spacing w:before="100" w:beforeAutospacing="1" w:after="100" w:afterAutospacing="1"/>
      <w:jc w:val="left"/>
    </w:pPr>
    <w:rPr>
      <w:rFonts w:ascii="宋体" w:hAnsi="宋体" w:cs="宋体"/>
      <w:kern w:val="0"/>
      <w:sz w:val="24"/>
    </w:rPr>
  </w:style>
  <w:style w:type="paragraph" w:customStyle="1" w:styleId="s27">
    <w:name w:val="s27"/>
    <w:basedOn w:val="a"/>
    <w:rsid w:val="00C90240"/>
    <w:pPr>
      <w:widowControl/>
      <w:spacing w:before="100" w:beforeAutospacing="1" w:after="100" w:afterAutospacing="1"/>
      <w:jc w:val="left"/>
    </w:pPr>
    <w:rPr>
      <w:rFonts w:ascii="宋体" w:hAnsi="宋体" w:cs="宋体"/>
      <w:kern w:val="0"/>
      <w:sz w:val="24"/>
    </w:rPr>
  </w:style>
  <w:style w:type="character" w:customStyle="1" w:styleId="s5">
    <w:name w:val="s5"/>
    <w:basedOn w:val="a0"/>
    <w:rsid w:val="00E523AC"/>
  </w:style>
  <w:style w:type="paragraph" w:customStyle="1" w:styleId="s21">
    <w:name w:val="s21"/>
    <w:basedOn w:val="a"/>
    <w:rsid w:val="00A7246B"/>
    <w:pPr>
      <w:widowControl/>
      <w:spacing w:before="100" w:beforeAutospacing="1" w:after="100" w:afterAutospacing="1"/>
      <w:jc w:val="left"/>
    </w:pPr>
    <w:rPr>
      <w:rFonts w:ascii="宋体" w:hAnsi="宋体" w:cs="宋体"/>
      <w:kern w:val="0"/>
      <w:sz w:val="24"/>
    </w:rPr>
  </w:style>
  <w:style w:type="character" w:customStyle="1" w:styleId="s20">
    <w:name w:val="s20"/>
    <w:basedOn w:val="a0"/>
    <w:rsid w:val="00A7246B"/>
  </w:style>
  <w:style w:type="paragraph" w:customStyle="1" w:styleId="CM3">
    <w:name w:val="CM3"/>
    <w:basedOn w:val="a"/>
    <w:next w:val="a"/>
    <w:uiPriority w:val="99"/>
    <w:rsid w:val="0034648E"/>
    <w:pPr>
      <w:autoSpaceDE w:val="0"/>
      <w:autoSpaceDN w:val="0"/>
      <w:adjustRightInd w:val="0"/>
      <w:spacing w:line="468" w:lineRule="atLeast"/>
      <w:jc w:val="left"/>
    </w:pPr>
    <w:rPr>
      <w:rFonts w:ascii="黑体" w:eastAsia="黑体" w:hAnsiTheme="minorHAnsi" w:cstheme="minorBidi"/>
      <w:kern w:val="0"/>
      <w:sz w:val="24"/>
    </w:rPr>
  </w:style>
  <w:style w:type="character" w:styleId="ad">
    <w:name w:val="Emphasis"/>
    <w:basedOn w:val="a0"/>
    <w:uiPriority w:val="20"/>
    <w:qFormat/>
    <w:rsid w:val="0029593D"/>
    <w:rPr>
      <w:i w:val="0"/>
      <w:iCs w:val="0"/>
      <w:color w:val="CC0000"/>
    </w:rPr>
  </w:style>
  <w:style w:type="character" w:customStyle="1" w:styleId="1Char">
    <w:name w:val="标题 1 Char"/>
    <w:basedOn w:val="a0"/>
    <w:link w:val="1"/>
    <w:uiPriority w:val="9"/>
    <w:rsid w:val="007312D9"/>
    <w:rPr>
      <w:b/>
      <w:bCs/>
      <w:kern w:val="44"/>
      <w:sz w:val="44"/>
      <w:szCs w:val="44"/>
    </w:rPr>
  </w:style>
  <w:style w:type="table" w:styleId="ae">
    <w:name w:val="Table Grid"/>
    <w:basedOn w:val="a1"/>
    <w:uiPriority w:val="59"/>
    <w:rsid w:val="009027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6617">
      <w:bodyDiv w:val="1"/>
      <w:marLeft w:val="0"/>
      <w:marRight w:val="0"/>
      <w:marTop w:val="0"/>
      <w:marBottom w:val="0"/>
      <w:divBdr>
        <w:top w:val="none" w:sz="0" w:space="0" w:color="auto"/>
        <w:left w:val="none" w:sz="0" w:space="0" w:color="auto"/>
        <w:bottom w:val="none" w:sz="0" w:space="0" w:color="auto"/>
        <w:right w:val="none" w:sz="0" w:space="0" w:color="auto"/>
      </w:divBdr>
    </w:div>
    <w:div w:id="112285763">
      <w:bodyDiv w:val="1"/>
      <w:marLeft w:val="0"/>
      <w:marRight w:val="0"/>
      <w:marTop w:val="0"/>
      <w:marBottom w:val="0"/>
      <w:divBdr>
        <w:top w:val="none" w:sz="0" w:space="0" w:color="auto"/>
        <w:left w:val="none" w:sz="0" w:space="0" w:color="auto"/>
        <w:bottom w:val="none" w:sz="0" w:space="0" w:color="auto"/>
        <w:right w:val="none" w:sz="0" w:space="0" w:color="auto"/>
      </w:divBdr>
    </w:div>
    <w:div w:id="151215418">
      <w:bodyDiv w:val="1"/>
      <w:marLeft w:val="0"/>
      <w:marRight w:val="0"/>
      <w:marTop w:val="0"/>
      <w:marBottom w:val="0"/>
      <w:divBdr>
        <w:top w:val="none" w:sz="0" w:space="0" w:color="auto"/>
        <w:left w:val="none" w:sz="0" w:space="0" w:color="auto"/>
        <w:bottom w:val="none" w:sz="0" w:space="0" w:color="auto"/>
        <w:right w:val="none" w:sz="0" w:space="0" w:color="auto"/>
      </w:divBdr>
      <w:divsChild>
        <w:div w:id="224924567">
          <w:marLeft w:val="0"/>
          <w:marRight w:val="0"/>
          <w:marTop w:val="0"/>
          <w:marBottom w:val="0"/>
          <w:divBdr>
            <w:top w:val="none" w:sz="0" w:space="0" w:color="auto"/>
            <w:left w:val="none" w:sz="0" w:space="0" w:color="auto"/>
            <w:bottom w:val="none" w:sz="0" w:space="0" w:color="auto"/>
            <w:right w:val="none" w:sz="0" w:space="0" w:color="auto"/>
          </w:divBdr>
          <w:divsChild>
            <w:div w:id="214439137">
              <w:marLeft w:val="0"/>
              <w:marRight w:val="0"/>
              <w:marTop w:val="0"/>
              <w:marBottom w:val="0"/>
              <w:divBdr>
                <w:top w:val="none" w:sz="0" w:space="0" w:color="auto"/>
                <w:left w:val="none" w:sz="0" w:space="0" w:color="auto"/>
                <w:bottom w:val="none" w:sz="0" w:space="0" w:color="auto"/>
                <w:right w:val="none" w:sz="0" w:space="0" w:color="auto"/>
              </w:divBdr>
              <w:divsChild>
                <w:div w:id="20377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2945">
      <w:bodyDiv w:val="1"/>
      <w:marLeft w:val="0"/>
      <w:marRight w:val="0"/>
      <w:marTop w:val="0"/>
      <w:marBottom w:val="0"/>
      <w:divBdr>
        <w:top w:val="none" w:sz="0" w:space="0" w:color="auto"/>
        <w:left w:val="none" w:sz="0" w:space="0" w:color="auto"/>
        <w:bottom w:val="none" w:sz="0" w:space="0" w:color="auto"/>
        <w:right w:val="none" w:sz="0" w:space="0" w:color="auto"/>
      </w:divBdr>
    </w:div>
    <w:div w:id="153228800">
      <w:bodyDiv w:val="1"/>
      <w:marLeft w:val="0"/>
      <w:marRight w:val="0"/>
      <w:marTop w:val="0"/>
      <w:marBottom w:val="0"/>
      <w:divBdr>
        <w:top w:val="none" w:sz="0" w:space="0" w:color="auto"/>
        <w:left w:val="none" w:sz="0" w:space="0" w:color="auto"/>
        <w:bottom w:val="none" w:sz="0" w:space="0" w:color="auto"/>
        <w:right w:val="none" w:sz="0" w:space="0" w:color="auto"/>
      </w:divBdr>
    </w:div>
    <w:div w:id="182481544">
      <w:bodyDiv w:val="1"/>
      <w:marLeft w:val="0"/>
      <w:marRight w:val="0"/>
      <w:marTop w:val="0"/>
      <w:marBottom w:val="0"/>
      <w:divBdr>
        <w:top w:val="none" w:sz="0" w:space="0" w:color="auto"/>
        <w:left w:val="none" w:sz="0" w:space="0" w:color="auto"/>
        <w:bottom w:val="none" w:sz="0" w:space="0" w:color="auto"/>
        <w:right w:val="none" w:sz="0" w:space="0" w:color="auto"/>
      </w:divBdr>
    </w:div>
    <w:div w:id="196508256">
      <w:bodyDiv w:val="1"/>
      <w:marLeft w:val="0"/>
      <w:marRight w:val="0"/>
      <w:marTop w:val="0"/>
      <w:marBottom w:val="0"/>
      <w:divBdr>
        <w:top w:val="none" w:sz="0" w:space="0" w:color="auto"/>
        <w:left w:val="none" w:sz="0" w:space="0" w:color="auto"/>
        <w:bottom w:val="none" w:sz="0" w:space="0" w:color="auto"/>
        <w:right w:val="none" w:sz="0" w:space="0" w:color="auto"/>
      </w:divBdr>
    </w:div>
    <w:div w:id="240139556">
      <w:bodyDiv w:val="1"/>
      <w:marLeft w:val="0"/>
      <w:marRight w:val="0"/>
      <w:marTop w:val="0"/>
      <w:marBottom w:val="0"/>
      <w:divBdr>
        <w:top w:val="none" w:sz="0" w:space="0" w:color="auto"/>
        <w:left w:val="none" w:sz="0" w:space="0" w:color="auto"/>
        <w:bottom w:val="none" w:sz="0" w:space="0" w:color="auto"/>
        <w:right w:val="none" w:sz="0" w:space="0" w:color="auto"/>
      </w:divBdr>
      <w:divsChild>
        <w:div w:id="422260783">
          <w:marLeft w:val="0"/>
          <w:marRight w:val="0"/>
          <w:marTop w:val="0"/>
          <w:marBottom w:val="0"/>
          <w:divBdr>
            <w:top w:val="none" w:sz="0" w:space="0" w:color="auto"/>
            <w:left w:val="none" w:sz="0" w:space="0" w:color="auto"/>
            <w:bottom w:val="none" w:sz="0" w:space="0" w:color="auto"/>
            <w:right w:val="none" w:sz="0" w:space="0" w:color="auto"/>
          </w:divBdr>
          <w:divsChild>
            <w:div w:id="1178691171">
              <w:marLeft w:val="0"/>
              <w:marRight w:val="0"/>
              <w:marTop w:val="0"/>
              <w:marBottom w:val="0"/>
              <w:divBdr>
                <w:top w:val="none" w:sz="0" w:space="0" w:color="auto"/>
                <w:left w:val="none" w:sz="0" w:space="0" w:color="auto"/>
                <w:bottom w:val="none" w:sz="0" w:space="0" w:color="auto"/>
                <w:right w:val="none" w:sz="0" w:space="0" w:color="auto"/>
              </w:divBdr>
              <w:divsChild>
                <w:div w:id="573583579">
                  <w:marLeft w:val="0"/>
                  <w:marRight w:val="0"/>
                  <w:marTop w:val="0"/>
                  <w:marBottom w:val="0"/>
                  <w:divBdr>
                    <w:top w:val="none" w:sz="0" w:space="0" w:color="auto"/>
                    <w:left w:val="none" w:sz="0" w:space="0" w:color="auto"/>
                    <w:bottom w:val="none" w:sz="0" w:space="0" w:color="auto"/>
                    <w:right w:val="none" w:sz="0" w:space="0" w:color="auto"/>
                  </w:divBdr>
                  <w:divsChild>
                    <w:div w:id="952979889">
                      <w:marLeft w:val="0"/>
                      <w:marRight w:val="0"/>
                      <w:marTop w:val="0"/>
                      <w:marBottom w:val="0"/>
                      <w:divBdr>
                        <w:top w:val="none" w:sz="0" w:space="0" w:color="auto"/>
                        <w:left w:val="none" w:sz="0" w:space="0" w:color="auto"/>
                        <w:bottom w:val="none" w:sz="0" w:space="0" w:color="auto"/>
                        <w:right w:val="none" w:sz="0" w:space="0" w:color="auto"/>
                      </w:divBdr>
                      <w:divsChild>
                        <w:div w:id="414984460">
                          <w:marLeft w:val="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499388">
      <w:bodyDiv w:val="1"/>
      <w:marLeft w:val="0"/>
      <w:marRight w:val="0"/>
      <w:marTop w:val="0"/>
      <w:marBottom w:val="0"/>
      <w:divBdr>
        <w:top w:val="none" w:sz="0" w:space="0" w:color="auto"/>
        <w:left w:val="none" w:sz="0" w:space="0" w:color="auto"/>
        <w:bottom w:val="none" w:sz="0" w:space="0" w:color="auto"/>
        <w:right w:val="none" w:sz="0" w:space="0" w:color="auto"/>
      </w:divBdr>
    </w:div>
    <w:div w:id="298652310">
      <w:bodyDiv w:val="1"/>
      <w:marLeft w:val="0"/>
      <w:marRight w:val="0"/>
      <w:marTop w:val="0"/>
      <w:marBottom w:val="0"/>
      <w:divBdr>
        <w:top w:val="none" w:sz="0" w:space="0" w:color="auto"/>
        <w:left w:val="none" w:sz="0" w:space="0" w:color="auto"/>
        <w:bottom w:val="none" w:sz="0" w:space="0" w:color="auto"/>
        <w:right w:val="none" w:sz="0" w:space="0" w:color="auto"/>
      </w:divBdr>
    </w:div>
    <w:div w:id="353579994">
      <w:bodyDiv w:val="1"/>
      <w:marLeft w:val="0"/>
      <w:marRight w:val="0"/>
      <w:marTop w:val="0"/>
      <w:marBottom w:val="0"/>
      <w:divBdr>
        <w:top w:val="none" w:sz="0" w:space="0" w:color="auto"/>
        <w:left w:val="none" w:sz="0" w:space="0" w:color="auto"/>
        <w:bottom w:val="none" w:sz="0" w:space="0" w:color="auto"/>
        <w:right w:val="none" w:sz="0" w:space="0" w:color="auto"/>
      </w:divBdr>
      <w:divsChild>
        <w:div w:id="1144278144">
          <w:marLeft w:val="0"/>
          <w:marRight w:val="0"/>
          <w:marTop w:val="0"/>
          <w:marBottom w:val="0"/>
          <w:divBdr>
            <w:top w:val="none" w:sz="0" w:space="0" w:color="auto"/>
            <w:left w:val="none" w:sz="0" w:space="0" w:color="auto"/>
            <w:bottom w:val="none" w:sz="0" w:space="0" w:color="auto"/>
            <w:right w:val="none" w:sz="0" w:space="0" w:color="auto"/>
          </w:divBdr>
        </w:div>
        <w:div w:id="2060546741">
          <w:marLeft w:val="0"/>
          <w:marRight w:val="0"/>
          <w:marTop w:val="0"/>
          <w:marBottom w:val="0"/>
          <w:divBdr>
            <w:top w:val="none" w:sz="0" w:space="0" w:color="auto"/>
            <w:left w:val="none" w:sz="0" w:space="0" w:color="auto"/>
            <w:bottom w:val="none" w:sz="0" w:space="0" w:color="auto"/>
            <w:right w:val="none" w:sz="0" w:space="0" w:color="auto"/>
          </w:divBdr>
        </w:div>
        <w:div w:id="1159268860">
          <w:marLeft w:val="0"/>
          <w:marRight w:val="0"/>
          <w:marTop w:val="0"/>
          <w:marBottom w:val="0"/>
          <w:divBdr>
            <w:top w:val="none" w:sz="0" w:space="0" w:color="auto"/>
            <w:left w:val="none" w:sz="0" w:space="0" w:color="auto"/>
            <w:bottom w:val="none" w:sz="0" w:space="0" w:color="auto"/>
            <w:right w:val="none" w:sz="0" w:space="0" w:color="auto"/>
          </w:divBdr>
        </w:div>
        <w:div w:id="546916539">
          <w:marLeft w:val="0"/>
          <w:marRight w:val="0"/>
          <w:marTop w:val="0"/>
          <w:marBottom w:val="0"/>
          <w:divBdr>
            <w:top w:val="none" w:sz="0" w:space="0" w:color="auto"/>
            <w:left w:val="none" w:sz="0" w:space="0" w:color="auto"/>
            <w:bottom w:val="none" w:sz="0" w:space="0" w:color="auto"/>
            <w:right w:val="none" w:sz="0" w:space="0" w:color="auto"/>
          </w:divBdr>
        </w:div>
        <w:div w:id="1454906244">
          <w:marLeft w:val="0"/>
          <w:marRight w:val="0"/>
          <w:marTop w:val="0"/>
          <w:marBottom w:val="0"/>
          <w:divBdr>
            <w:top w:val="none" w:sz="0" w:space="0" w:color="auto"/>
            <w:left w:val="none" w:sz="0" w:space="0" w:color="auto"/>
            <w:bottom w:val="none" w:sz="0" w:space="0" w:color="auto"/>
            <w:right w:val="none" w:sz="0" w:space="0" w:color="auto"/>
          </w:divBdr>
        </w:div>
      </w:divsChild>
    </w:div>
    <w:div w:id="369962522">
      <w:bodyDiv w:val="1"/>
      <w:marLeft w:val="0"/>
      <w:marRight w:val="0"/>
      <w:marTop w:val="0"/>
      <w:marBottom w:val="0"/>
      <w:divBdr>
        <w:top w:val="none" w:sz="0" w:space="0" w:color="auto"/>
        <w:left w:val="none" w:sz="0" w:space="0" w:color="auto"/>
        <w:bottom w:val="none" w:sz="0" w:space="0" w:color="auto"/>
        <w:right w:val="none" w:sz="0" w:space="0" w:color="auto"/>
      </w:divBdr>
    </w:div>
    <w:div w:id="400755609">
      <w:bodyDiv w:val="1"/>
      <w:marLeft w:val="0"/>
      <w:marRight w:val="0"/>
      <w:marTop w:val="0"/>
      <w:marBottom w:val="0"/>
      <w:divBdr>
        <w:top w:val="none" w:sz="0" w:space="0" w:color="auto"/>
        <w:left w:val="none" w:sz="0" w:space="0" w:color="auto"/>
        <w:bottom w:val="none" w:sz="0" w:space="0" w:color="auto"/>
        <w:right w:val="none" w:sz="0" w:space="0" w:color="auto"/>
      </w:divBdr>
    </w:div>
    <w:div w:id="446244275">
      <w:bodyDiv w:val="1"/>
      <w:marLeft w:val="0"/>
      <w:marRight w:val="0"/>
      <w:marTop w:val="0"/>
      <w:marBottom w:val="0"/>
      <w:divBdr>
        <w:top w:val="none" w:sz="0" w:space="0" w:color="auto"/>
        <w:left w:val="none" w:sz="0" w:space="0" w:color="auto"/>
        <w:bottom w:val="none" w:sz="0" w:space="0" w:color="auto"/>
        <w:right w:val="none" w:sz="0" w:space="0" w:color="auto"/>
      </w:divBdr>
    </w:div>
    <w:div w:id="475496233">
      <w:bodyDiv w:val="1"/>
      <w:marLeft w:val="0"/>
      <w:marRight w:val="0"/>
      <w:marTop w:val="0"/>
      <w:marBottom w:val="0"/>
      <w:divBdr>
        <w:top w:val="none" w:sz="0" w:space="0" w:color="auto"/>
        <w:left w:val="none" w:sz="0" w:space="0" w:color="auto"/>
        <w:bottom w:val="none" w:sz="0" w:space="0" w:color="auto"/>
        <w:right w:val="none" w:sz="0" w:space="0" w:color="auto"/>
      </w:divBdr>
    </w:div>
    <w:div w:id="522982077">
      <w:bodyDiv w:val="1"/>
      <w:marLeft w:val="0"/>
      <w:marRight w:val="0"/>
      <w:marTop w:val="0"/>
      <w:marBottom w:val="0"/>
      <w:divBdr>
        <w:top w:val="none" w:sz="0" w:space="0" w:color="auto"/>
        <w:left w:val="none" w:sz="0" w:space="0" w:color="auto"/>
        <w:bottom w:val="none" w:sz="0" w:space="0" w:color="auto"/>
        <w:right w:val="none" w:sz="0" w:space="0" w:color="auto"/>
      </w:divBdr>
    </w:div>
    <w:div w:id="566382728">
      <w:bodyDiv w:val="1"/>
      <w:marLeft w:val="0"/>
      <w:marRight w:val="0"/>
      <w:marTop w:val="0"/>
      <w:marBottom w:val="0"/>
      <w:divBdr>
        <w:top w:val="none" w:sz="0" w:space="0" w:color="auto"/>
        <w:left w:val="none" w:sz="0" w:space="0" w:color="auto"/>
        <w:bottom w:val="none" w:sz="0" w:space="0" w:color="auto"/>
        <w:right w:val="none" w:sz="0" w:space="0" w:color="auto"/>
      </w:divBdr>
    </w:div>
    <w:div w:id="620460631">
      <w:bodyDiv w:val="1"/>
      <w:marLeft w:val="0"/>
      <w:marRight w:val="0"/>
      <w:marTop w:val="0"/>
      <w:marBottom w:val="0"/>
      <w:divBdr>
        <w:top w:val="none" w:sz="0" w:space="0" w:color="auto"/>
        <w:left w:val="none" w:sz="0" w:space="0" w:color="auto"/>
        <w:bottom w:val="none" w:sz="0" w:space="0" w:color="auto"/>
        <w:right w:val="none" w:sz="0" w:space="0" w:color="auto"/>
      </w:divBdr>
    </w:div>
    <w:div w:id="657076009">
      <w:bodyDiv w:val="1"/>
      <w:marLeft w:val="0"/>
      <w:marRight w:val="0"/>
      <w:marTop w:val="0"/>
      <w:marBottom w:val="0"/>
      <w:divBdr>
        <w:top w:val="none" w:sz="0" w:space="0" w:color="auto"/>
        <w:left w:val="none" w:sz="0" w:space="0" w:color="auto"/>
        <w:bottom w:val="none" w:sz="0" w:space="0" w:color="auto"/>
        <w:right w:val="none" w:sz="0" w:space="0" w:color="auto"/>
      </w:divBdr>
    </w:div>
    <w:div w:id="773130858">
      <w:bodyDiv w:val="1"/>
      <w:marLeft w:val="0"/>
      <w:marRight w:val="0"/>
      <w:marTop w:val="0"/>
      <w:marBottom w:val="0"/>
      <w:divBdr>
        <w:top w:val="none" w:sz="0" w:space="0" w:color="auto"/>
        <w:left w:val="none" w:sz="0" w:space="0" w:color="auto"/>
        <w:bottom w:val="none" w:sz="0" w:space="0" w:color="auto"/>
        <w:right w:val="none" w:sz="0" w:space="0" w:color="auto"/>
      </w:divBdr>
    </w:div>
    <w:div w:id="773478797">
      <w:bodyDiv w:val="1"/>
      <w:marLeft w:val="0"/>
      <w:marRight w:val="0"/>
      <w:marTop w:val="0"/>
      <w:marBottom w:val="0"/>
      <w:divBdr>
        <w:top w:val="none" w:sz="0" w:space="0" w:color="auto"/>
        <w:left w:val="none" w:sz="0" w:space="0" w:color="auto"/>
        <w:bottom w:val="none" w:sz="0" w:space="0" w:color="auto"/>
        <w:right w:val="none" w:sz="0" w:space="0" w:color="auto"/>
      </w:divBdr>
    </w:div>
    <w:div w:id="809133604">
      <w:bodyDiv w:val="1"/>
      <w:marLeft w:val="0"/>
      <w:marRight w:val="0"/>
      <w:marTop w:val="0"/>
      <w:marBottom w:val="0"/>
      <w:divBdr>
        <w:top w:val="none" w:sz="0" w:space="0" w:color="auto"/>
        <w:left w:val="none" w:sz="0" w:space="0" w:color="auto"/>
        <w:bottom w:val="none" w:sz="0" w:space="0" w:color="auto"/>
        <w:right w:val="none" w:sz="0" w:space="0" w:color="auto"/>
      </w:divBdr>
    </w:div>
    <w:div w:id="827555405">
      <w:bodyDiv w:val="1"/>
      <w:marLeft w:val="0"/>
      <w:marRight w:val="0"/>
      <w:marTop w:val="0"/>
      <w:marBottom w:val="0"/>
      <w:divBdr>
        <w:top w:val="none" w:sz="0" w:space="0" w:color="auto"/>
        <w:left w:val="none" w:sz="0" w:space="0" w:color="auto"/>
        <w:bottom w:val="none" w:sz="0" w:space="0" w:color="auto"/>
        <w:right w:val="none" w:sz="0" w:space="0" w:color="auto"/>
      </w:divBdr>
    </w:div>
    <w:div w:id="881401859">
      <w:bodyDiv w:val="1"/>
      <w:marLeft w:val="0"/>
      <w:marRight w:val="0"/>
      <w:marTop w:val="0"/>
      <w:marBottom w:val="0"/>
      <w:divBdr>
        <w:top w:val="none" w:sz="0" w:space="0" w:color="auto"/>
        <w:left w:val="none" w:sz="0" w:space="0" w:color="auto"/>
        <w:bottom w:val="none" w:sz="0" w:space="0" w:color="auto"/>
        <w:right w:val="none" w:sz="0" w:space="0" w:color="auto"/>
      </w:divBdr>
    </w:div>
    <w:div w:id="882979233">
      <w:bodyDiv w:val="1"/>
      <w:marLeft w:val="0"/>
      <w:marRight w:val="0"/>
      <w:marTop w:val="0"/>
      <w:marBottom w:val="0"/>
      <w:divBdr>
        <w:top w:val="none" w:sz="0" w:space="0" w:color="auto"/>
        <w:left w:val="none" w:sz="0" w:space="0" w:color="auto"/>
        <w:bottom w:val="none" w:sz="0" w:space="0" w:color="auto"/>
        <w:right w:val="none" w:sz="0" w:space="0" w:color="auto"/>
      </w:divBdr>
    </w:div>
    <w:div w:id="938098946">
      <w:bodyDiv w:val="1"/>
      <w:marLeft w:val="0"/>
      <w:marRight w:val="0"/>
      <w:marTop w:val="0"/>
      <w:marBottom w:val="0"/>
      <w:divBdr>
        <w:top w:val="none" w:sz="0" w:space="0" w:color="auto"/>
        <w:left w:val="none" w:sz="0" w:space="0" w:color="auto"/>
        <w:bottom w:val="none" w:sz="0" w:space="0" w:color="auto"/>
        <w:right w:val="none" w:sz="0" w:space="0" w:color="auto"/>
      </w:divBdr>
    </w:div>
    <w:div w:id="954601619">
      <w:bodyDiv w:val="1"/>
      <w:marLeft w:val="0"/>
      <w:marRight w:val="0"/>
      <w:marTop w:val="0"/>
      <w:marBottom w:val="0"/>
      <w:divBdr>
        <w:top w:val="none" w:sz="0" w:space="0" w:color="auto"/>
        <w:left w:val="none" w:sz="0" w:space="0" w:color="auto"/>
        <w:bottom w:val="none" w:sz="0" w:space="0" w:color="auto"/>
        <w:right w:val="none" w:sz="0" w:space="0" w:color="auto"/>
      </w:divBdr>
    </w:div>
    <w:div w:id="977614810">
      <w:bodyDiv w:val="1"/>
      <w:marLeft w:val="0"/>
      <w:marRight w:val="0"/>
      <w:marTop w:val="0"/>
      <w:marBottom w:val="0"/>
      <w:divBdr>
        <w:top w:val="none" w:sz="0" w:space="0" w:color="auto"/>
        <w:left w:val="none" w:sz="0" w:space="0" w:color="auto"/>
        <w:bottom w:val="none" w:sz="0" w:space="0" w:color="auto"/>
        <w:right w:val="none" w:sz="0" w:space="0" w:color="auto"/>
      </w:divBdr>
    </w:div>
    <w:div w:id="1025867175">
      <w:bodyDiv w:val="1"/>
      <w:marLeft w:val="0"/>
      <w:marRight w:val="0"/>
      <w:marTop w:val="0"/>
      <w:marBottom w:val="0"/>
      <w:divBdr>
        <w:top w:val="none" w:sz="0" w:space="0" w:color="auto"/>
        <w:left w:val="none" w:sz="0" w:space="0" w:color="auto"/>
        <w:bottom w:val="none" w:sz="0" w:space="0" w:color="auto"/>
        <w:right w:val="none" w:sz="0" w:space="0" w:color="auto"/>
      </w:divBdr>
      <w:divsChild>
        <w:div w:id="1135488001">
          <w:marLeft w:val="0"/>
          <w:marRight w:val="0"/>
          <w:marTop w:val="0"/>
          <w:marBottom w:val="0"/>
          <w:divBdr>
            <w:top w:val="none" w:sz="0" w:space="0" w:color="auto"/>
            <w:left w:val="none" w:sz="0" w:space="0" w:color="auto"/>
            <w:bottom w:val="none" w:sz="0" w:space="0" w:color="auto"/>
            <w:right w:val="none" w:sz="0" w:space="0" w:color="auto"/>
          </w:divBdr>
          <w:divsChild>
            <w:div w:id="247036775">
              <w:marLeft w:val="0"/>
              <w:marRight w:val="0"/>
              <w:marTop w:val="0"/>
              <w:marBottom w:val="0"/>
              <w:divBdr>
                <w:top w:val="none" w:sz="0" w:space="0" w:color="auto"/>
                <w:left w:val="none" w:sz="0" w:space="0" w:color="auto"/>
                <w:bottom w:val="none" w:sz="0" w:space="0" w:color="auto"/>
                <w:right w:val="none" w:sz="0" w:space="0" w:color="auto"/>
              </w:divBdr>
              <w:divsChild>
                <w:div w:id="34343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93302">
      <w:bodyDiv w:val="1"/>
      <w:marLeft w:val="0"/>
      <w:marRight w:val="0"/>
      <w:marTop w:val="0"/>
      <w:marBottom w:val="0"/>
      <w:divBdr>
        <w:top w:val="none" w:sz="0" w:space="0" w:color="auto"/>
        <w:left w:val="none" w:sz="0" w:space="0" w:color="auto"/>
        <w:bottom w:val="none" w:sz="0" w:space="0" w:color="auto"/>
        <w:right w:val="none" w:sz="0" w:space="0" w:color="auto"/>
      </w:divBdr>
    </w:div>
    <w:div w:id="1114979220">
      <w:bodyDiv w:val="1"/>
      <w:marLeft w:val="0"/>
      <w:marRight w:val="0"/>
      <w:marTop w:val="0"/>
      <w:marBottom w:val="0"/>
      <w:divBdr>
        <w:top w:val="none" w:sz="0" w:space="0" w:color="auto"/>
        <w:left w:val="none" w:sz="0" w:space="0" w:color="auto"/>
        <w:bottom w:val="none" w:sz="0" w:space="0" w:color="auto"/>
        <w:right w:val="none" w:sz="0" w:space="0" w:color="auto"/>
      </w:divBdr>
      <w:divsChild>
        <w:div w:id="567109561">
          <w:marLeft w:val="0"/>
          <w:marRight w:val="0"/>
          <w:marTop w:val="0"/>
          <w:marBottom w:val="0"/>
          <w:divBdr>
            <w:top w:val="none" w:sz="0" w:space="0" w:color="auto"/>
            <w:left w:val="none" w:sz="0" w:space="0" w:color="auto"/>
            <w:bottom w:val="none" w:sz="0" w:space="0" w:color="auto"/>
            <w:right w:val="none" w:sz="0" w:space="0" w:color="auto"/>
          </w:divBdr>
        </w:div>
      </w:divsChild>
    </w:div>
    <w:div w:id="1135679837">
      <w:bodyDiv w:val="1"/>
      <w:marLeft w:val="0"/>
      <w:marRight w:val="0"/>
      <w:marTop w:val="0"/>
      <w:marBottom w:val="0"/>
      <w:divBdr>
        <w:top w:val="none" w:sz="0" w:space="0" w:color="auto"/>
        <w:left w:val="none" w:sz="0" w:space="0" w:color="auto"/>
        <w:bottom w:val="none" w:sz="0" w:space="0" w:color="auto"/>
        <w:right w:val="none" w:sz="0" w:space="0" w:color="auto"/>
      </w:divBdr>
    </w:div>
    <w:div w:id="1175731310">
      <w:bodyDiv w:val="1"/>
      <w:marLeft w:val="0"/>
      <w:marRight w:val="0"/>
      <w:marTop w:val="0"/>
      <w:marBottom w:val="0"/>
      <w:divBdr>
        <w:top w:val="none" w:sz="0" w:space="0" w:color="auto"/>
        <w:left w:val="none" w:sz="0" w:space="0" w:color="auto"/>
        <w:bottom w:val="none" w:sz="0" w:space="0" w:color="auto"/>
        <w:right w:val="none" w:sz="0" w:space="0" w:color="auto"/>
      </w:divBdr>
    </w:div>
    <w:div w:id="1303267046">
      <w:bodyDiv w:val="1"/>
      <w:marLeft w:val="0"/>
      <w:marRight w:val="0"/>
      <w:marTop w:val="0"/>
      <w:marBottom w:val="0"/>
      <w:divBdr>
        <w:top w:val="none" w:sz="0" w:space="0" w:color="auto"/>
        <w:left w:val="none" w:sz="0" w:space="0" w:color="auto"/>
        <w:bottom w:val="none" w:sz="0" w:space="0" w:color="auto"/>
        <w:right w:val="none" w:sz="0" w:space="0" w:color="auto"/>
      </w:divBdr>
    </w:div>
    <w:div w:id="1322387386">
      <w:bodyDiv w:val="1"/>
      <w:marLeft w:val="0"/>
      <w:marRight w:val="0"/>
      <w:marTop w:val="0"/>
      <w:marBottom w:val="0"/>
      <w:divBdr>
        <w:top w:val="none" w:sz="0" w:space="0" w:color="auto"/>
        <w:left w:val="none" w:sz="0" w:space="0" w:color="auto"/>
        <w:bottom w:val="none" w:sz="0" w:space="0" w:color="auto"/>
        <w:right w:val="none" w:sz="0" w:space="0" w:color="auto"/>
      </w:divBdr>
    </w:div>
    <w:div w:id="1400133203">
      <w:bodyDiv w:val="1"/>
      <w:marLeft w:val="0"/>
      <w:marRight w:val="0"/>
      <w:marTop w:val="0"/>
      <w:marBottom w:val="0"/>
      <w:divBdr>
        <w:top w:val="none" w:sz="0" w:space="0" w:color="auto"/>
        <w:left w:val="none" w:sz="0" w:space="0" w:color="auto"/>
        <w:bottom w:val="none" w:sz="0" w:space="0" w:color="auto"/>
        <w:right w:val="none" w:sz="0" w:space="0" w:color="auto"/>
      </w:divBdr>
    </w:div>
    <w:div w:id="1436906335">
      <w:bodyDiv w:val="1"/>
      <w:marLeft w:val="0"/>
      <w:marRight w:val="0"/>
      <w:marTop w:val="0"/>
      <w:marBottom w:val="0"/>
      <w:divBdr>
        <w:top w:val="none" w:sz="0" w:space="0" w:color="auto"/>
        <w:left w:val="none" w:sz="0" w:space="0" w:color="auto"/>
        <w:bottom w:val="none" w:sz="0" w:space="0" w:color="auto"/>
        <w:right w:val="none" w:sz="0" w:space="0" w:color="auto"/>
      </w:divBdr>
      <w:divsChild>
        <w:div w:id="2061053814">
          <w:marLeft w:val="0"/>
          <w:marRight w:val="0"/>
          <w:marTop w:val="0"/>
          <w:marBottom w:val="0"/>
          <w:divBdr>
            <w:top w:val="none" w:sz="0" w:space="0" w:color="auto"/>
            <w:left w:val="none" w:sz="0" w:space="0" w:color="auto"/>
            <w:bottom w:val="none" w:sz="0" w:space="0" w:color="auto"/>
            <w:right w:val="none" w:sz="0" w:space="0" w:color="auto"/>
          </w:divBdr>
          <w:divsChild>
            <w:div w:id="383725564">
              <w:marLeft w:val="0"/>
              <w:marRight w:val="0"/>
              <w:marTop w:val="0"/>
              <w:marBottom w:val="0"/>
              <w:divBdr>
                <w:top w:val="none" w:sz="0" w:space="0" w:color="auto"/>
                <w:left w:val="none" w:sz="0" w:space="0" w:color="auto"/>
                <w:bottom w:val="none" w:sz="0" w:space="0" w:color="auto"/>
                <w:right w:val="none" w:sz="0" w:space="0" w:color="auto"/>
              </w:divBdr>
              <w:divsChild>
                <w:div w:id="1694071403">
                  <w:marLeft w:val="0"/>
                  <w:marRight w:val="0"/>
                  <w:marTop w:val="0"/>
                  <w:marBottom w:val="0"/>
                  <w:divBdr>
                    <w:top w:val="none" w:sz="0" w:space="0" w:color="auto"/>
                    <w:left w:val="none" w:sz="0" w:space="0" w:color="auto"/>
                    <w:bottom w:val="none" w:sz="0" w:space="0" w:color="auto"/>
                    <w:right w:val="none" w:sz="0" w:space="0" w:color="auto"/>
                  </w:divBdr>
                  <w:divsChild>
                    <w:div w:id="218634715">
                      <w:marLeft w:val="0"/>
                      <w:marRight w:val="0"/>
                      <w:marTop w:val="0"/>
                      <w:marBottom w:val="0"/>
                      <w:divBdr>
                        <w:top w:val="none" w:sz="0" w:space="0" w:color="auto"/>
                        <w:left w:val="none" w:sz="0" w:space="0" w:color="auto"/>
                        <w:bottom w:val="none" w:sz="0" w:space="0" w:color="auto"/>
                        <w:right w:val="none" w:sz="0" w:space="0" w:color="auto"/>
                      </w:divBdr>
                      <w:divsChild>
                        <w:div w:id="1493990092">
                          <w:marLeft w:val="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690617">
      <w:bodyDiv w:val="1"/>
      <w:marLeft w:val="0"/>
      <w:marRight w:val="0"/>
      <w:marTop w:val="0"/>
      <w:marBottom w:val="0"/>
      <w:divBdr>
        <w:top w:val="none" w:sz="0" w:space="0" w:color="auto"/>
        <w:left w:val="none" w:sz="0" w:space="0" w:color="auto"/>
        <w:bottom w:val="none" w:sz="0" w:space="0" w:color="auto"/>
        <w:right w:val="none" w:sz="0" w:space="0" w:color="auto"/>
      </w:divBdr>
    </w:div>
    <w:div w:id="1529875545">
      <w:bodyDiv w:val="1"/>
      <w:marLeft w:val="0"/>
      <w:marRight w:val="0"/>
      <w:marTop w:val="0"/>
      <w:marBottom w:val="0"/>
      <w:divBdr>
        <w:top w:val="none" w:sz="0" w:space="0" w:color="auto"/>
        <w:left w:val="none" w:sz="0" w:space="0" w:color="auto"/>
        <w:bottom w:val="none" w:sz="0" w:space="0" w:color="auto"/>
        <w:right w:val="none" w:sz="0" w:space="0" w:color="auto"/>
      </w:divBdr>
    </w:div>
    <w:div w:id="1574705844">
      <w:bodyDiv w:val="1"/>
      <w:marLeft w:val="0"/>
      <w:marRight w:val="0"/>
      <w:marTop w:val="0"/>
      <w:marBottom w:val="0"/>
      <w:divBdr>
        <w:top w:val="none" w:sz="0" w:space="0" w:color="auto"/>
        <w:left w:val="none" w:sz="0" w:space="0" w:color="auto"/>
        <w:bottom w:val="none" w:sz="0" w:space="0" w:color="auto"/>
        <w:right w:val="none" w:sz="0" w:space="0" w:color="auto"/>
      </w:divBdr>
    </w:div>
    <w:div w:id="1672945679">
      <w:bodyDiv w:val="1"/>
      <w:marLeft w:val="0"/>
      <w:marRight w:val="0"/>
      <w:marTop w:val="0"/>
      <w:marBottom w:val="0"/>
      <w:divBdr>
        <w:top w:val="none" w:sz="0" w:space="0" w:color="auto"/>
        <w:left w:val="none" w:sz="0" w:space="0" w:color="auto"/>
        <w:bottom w:val="none" w:sz="0" w:space="0" w:color="auto"/>
        <w:right w:val="none" w:sz="0" w:space="0" w:color="auto"/>
      </w:divBdr>
    </w:div>
    <w:div w:id="1813907293">
      <w:bodyDiv w:val="1"/>
      <w:marLeft w:val="0"/>
      <w:marRight w:val="0"/>
      <w:marTop w:val="0"/>
      <w:marBottom w:val="0"/>
      <w:divBdr>
        <w:top w:val="none" w:sz="0" w:space="0" w:color="auto"/>
        <w:left w:val="none" w:sz="0" w:space="0" w:color="auto"/>
        <w:bottom w:val="none" w:sz="0" w:space="0" w:color="auto"/>
        <w:right w:val="none" w:sz="0" w:space="0" w:color="auto"/>
      </w:divBdr>
    </w:div>
    <w:div w:id="1987081117">
      <w:bodyDiv w:val="1"/>
      <w:marLeft w:val="0"/>
      <w:marRight w:val="0"/>
      <w:marTop w:val="0"/>
      <w:marBottom w:val="0"/>
      <w:divBdr>
        <w:top w:val="none" w:sz="0" w:space="0" w:color="auto"/>
        <w:left w:val="none" w:sz="0" w:space="0" w:color="auto"/>
        <w:bottom w:val="none" w:sz="0" w:space="0" w:color="auto"/>
        <w:right w:val="none" w:sz="0" w:space="0" w:color="auto"/>
      </w:divBdr>
    </w:div>
    <w:div w:id="2039550785">
      <w:bodyDiv w:val="1"/>
      <w:marLeft w:val="0"/>
      <w:marRight w:val="0"/>
      <w:marTop w:val="0"/>
      <w:marBottom w:val="0"/>
      <w:divBdr>
        <w:top w:val="none" w:sz="0" w:space="0" w:color="auto"/>
        <w:left w:val="none" w:sz="0" w:space="0" w:color="auto"/>
        <w:bottom w:val="none" w:sz="0" w:space="0" w:color="auto"/>
        <w:right w:val="none" w:sz="0" w:space="0" w:color="auto"/>
      </w:divBdr>
    </w:div>
    <w:div w:id="205450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221B6-6149-4858-9212-56A938EEC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343</Words>
  <Characters>1961</Characters>
  <Application>Microsoft Office Word</Application>
  <DocSecurity>0</DocSecurity>
  <Lines>16</Lines>
  <Paragraphs>4</Paragraphs>
  <ScaleCrop>false</ScaleCrop>
  <Company>HP</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Xiao</dc:creator>
  <cp:lastModifiedBy>微软用户</cp:lastModifiedBy>
  <cp:revision>10</cp:revision>
  <cp:lastPrinted>2015-12-03T05:06:00Z</cp:lastPrinted>
  <dcterms:created xsi:type="dcterms:W3CDTF">2016-09-27T10:30:00Z</dcterms:created>
  <dcterms:modified xsi:type="dcterms:W3CDTF">2016-09-28T06:09:00Z</dcterms:modified>
</cp:coreProperties>
</file>