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111885" w:rsidRDefault="00EE1C10" w:rsidP="0006019F">
      <w:pPr>
        <w:spacing w:beforeLines="50" w:afterLines="50" w:line="400" w:lineRule="exact"/>
        <w:rPr>
          <w:rFonts w:ascii="Arial" w:hAnsi="Arial"/>
          <w:bCs/>
          <w:iCs/>
          <w:color w:val="000000"/>
          <w:sz w:val="24"/>
        </w:rPr>
      </w:pPr>
      <w:r w:rsidRPr="00111885">
        <w:rPr>
          <w:rFonts w:ascii="Arial" w:hAnsiTheme="minorEastAsia" w:hint="eastAsia"/>
          <w:bCs/>
          <w:iCs/>
          <w:color w:val="000000"/>
          <w:sz w:val="24"/>
        </w:rPr>
        <w:t>证券代码：</w:t>
      </w:r>
      <w:r w:rsidRPr="00111885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111885">
        <w:rPr>
          <w:rFonts w:ascii="Arial" w:hAnsiTheme="minorEastAsia" w:hint="eastAsia"/>
          <w:bCs/>
          <w:iCs/>
          <w:color w:val="000000"/>
          <w:sz w:val="24"/>
        </w:rPr>
        <w:t>证券简称：</w:t>
      </w:r>
      <w:r w:rsidR="00D96584" w:rsidRPr="00111885">
        <w:rPr>
          <w:rFonts w:ascii="Arial" w:hAnsiTheme="minorEastAsia" w:hint="eastAsia"/>
          <w:bCs/>
          <w:iCs/>
          <w:color w:val="000000"/>
          <w:sz w:val="24"/>
        </w:rPr>
        <w:t>平安银行</w:t>
      </w:r>
    </w:p>
    <w:p w:rsidR="00EE1C10" w:rsidRPr="00111885" w:rsidRDefault="003317E5" w:rsidP="0006019F">
      <w:pPr>
        <w:spacing w:beforeLines="50" w:afterLines="50" w:line="400" w:lineRule="exact"/>
        <w:jc w:val="center"/>
        <w:rPr>
          <w:rFonts w:ascii="Arial" w:hAnsi="Arial"/>
          <w:b/>
          <w:bCs/>
          <w:iCs/>
          <w:color w:val="000000"/>
          <w:sz w:val="24"/>
        </w:rPr>
      </w:pPr>
      <w:r w:rsidRPr="00111885">
        <w:rPr>
          <w:rFonts w:ascii="Arial" w:hAnsiTheme="minorEastAsia" w:hint="eastAsia"/>
          <w:b/>
          <w:bCs/>
          <w:iCs/>
          <w:color w:val="000000"/>
          <w:sz w:val="24"/>
        </w:rPr>
        <w:t>平安</w:t>
      </w:r>
      <w:r w:rsidR="00EE1C10" w:rsidRPr="00111885">
        <w:rPr>
          <w:rFonts w:ascii="Arial" w:hAnsiTheme="minorEastAsia" w:hint="eastAsia"/>
          <w:b/>
          <w:bCs/>
          <w:iCs/>
          <w:color w:val="000000"/>
          <w:sz w:val="24"/>
        </w:rPr>
        <w:t>银行股份有限公司投资者关系活动记录表</w:t>
      </w:r>
    </w:p>
    <w:p w:rsidR="00EE1C10" w:rsidRPr="00111885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111885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111885">
        <w:rPr>
          <w:rFonts w:ascii="Arial" w:hAnsiTheme="minorEastAsia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CA5B7A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特定对象调研</w:t>
            </w:r>
            <w:r w:rsidR="00EE1C10" w:rsidRPr="00111885">
              <w:rPr>
                <w:rFonts w:ascii="Arial" w:hAnsi="Arial" w:hint="eastAsia"/>
                <w:sz w:val="24"/>
              </w:rPr>
              <w:t xml:space="preserve">        </w:t>
            </w:r>
            <w:r w:rsidR="00EE1C10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分析师会议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媒体采访</w:t>
            </w:r>
            <w:r w:rsidRPr="00111885">
              <w:rPr>
                <w:rFonts w:ascii="Arial" w:hAnsi="Arial" w:hint="eastAsia"/>
                <w:sz w:val="24"/>
              </w:rPr>
              <w:t xml:space="preserve">            </w:t>
            </w:r>
            <w:r w:rsidR="00FF0263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7B53AA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Pr="00111885">
              <w:rPr>
                <w:rFonts w:ascii="Arial" w:hAnsiTheme="minorEastAsia" w:hint="eastAsia"/>
                <w:sz w:val="24"/>
              </w:rPr>
              <w:t>业绩说明会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新闻发布会</w:t>
            </w:r>
            <w:r w:rsidRPr="00111885">
              <w:rPr>
                <w:rFonts w:ascii="Arial" w:hAnsi="Arial" w:hint="eastAsia"/>
                <w:sz w:val="24"/>
              </w:rPr>
              <w:t xml:space="preserve">          </w:t>
            </w:r>
            <w:r w:rsidR="007B53AA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路演活动</w:t>
            </w:r>
          </w:p>
          <w:p w:rsidR="00EE1C10" w:rsidRPr="00111885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现场参观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111885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其他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7B53AA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国内外分析师及投资者</w:t>
            </w:r>
            <w:r w:rsidR="00A86B55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、媒体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43629D" w:rsidP="00A86B55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8A0A92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</w:t>
            </w:r>
            <w:r w:rsidR="00A86B55">
              <w:rPr>
                <w:rFonts w:ascii="Arial" w:hAnsi="Arial" w:hint="eastAsia"/>
                <w:bCs/>
                <w:iCs/>
                <w:color w:val="000000"/>
                <w:sz w:val="24"/>
              </w:rPr>
              <w:t>8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月</w:t>
            </w:r>
            <w:r w:rsidR="007B53AA">
              <w:rPr>
                <w:rFonts w:ascii="Arial" w:hAnsi="Arial" w:hint="eastAsia"/>
                <w:bCs/>
                <w:iCs/>
                <w:color w:val="000000"/>
                <w:sz w:val="24"/>
              </w:rPr>
              <w:t>1</w:t>
            </w:r>
            <w:r w:rsidR="00A86B55">
              <w:rPr>
                <w:rFonts w:ascii="Arial" w:hAnsi="Arial" w:hint="eastAsia"/>
                <w:bCs/>
                <w:iCs/>
                <w:color w:val="000000"/>
                <w:sz w:val="24"/>
              </w:rPr>
              <w:t>2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7B53AA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CA5B7A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A" w:rsidRPr="00A86B55" w:rsidRDefault="007B53AA" w:rsidP="007B53AA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</w:t>
            </w:r>
            <w:r w:rsidR="00A86B55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介绍零售发展战略，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回答投资者</w:t>
            </w:r>
            <w:r w:rsidRPr="00A86B55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提问</w:t>
            </w:r>
          </w:p>
          <w:p w:rsidR="00A86B55" w:rsidRPr="00A86B55" w:rsidRDefault="00A86B55" w:rsidP="00A86B55">
            <w:pPr>
              <w:numPr>
                <w:ilvl w:val="0"/>
                <w:numId w:val="13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A86B55">
              <w:rPr>
                <w:rFonts w:asciiTheme="minorEastAsia" w:eastAsiaTheme="minorEastAsia" w:hAnsiTheme="minorEastAsia" w:hint="eastAsia"/>
                <w:b/>
                <w:sz w:val="24"/>
              </w:rPr>
              <w:t>对于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零售</w:t>
            </w:r>
            <w:r w:rsidRPr="00A86B55">
              <w:rPr>
                <w:rFonts w:asciiTheme="minorEastAsia" w:eastAsiaTheme="minorEastAsia" w:hAnsiTheme="minorEastAsia" w:hint="eastAsia"/>
                <w:b/>
                <w:sz w:val="24"/>
              </w:rPr>
              <w:t>贷款结构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的</w:t>
            </w:r>
            <w:r w:rsidRPr="00A86B55">
              <w:rPr>
                <w:rFonts w:asciiTheme="minorEastAsia" w:eastAsiaTheme="minorEastAsia" w:hAnsiTheme="minorEastAsia" w:hint="eastAsia"/>
                <w:b/>
                <w:sz w:val="24"/>
              </w:rPr>
              <w:t>考虑？</w:t>
            </w:r>
          </w:p>
          <w:p w:rsidR="00A86B55" w:rsidRP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在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宏观经济背景</w:t>
            </w:r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下，为继续优化贷款结构，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重点发展</w:t>
            </w:r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可以抵抗经济周期不良的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贷款（例如</w:t>
            </w:r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：按揭、汽融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、消费金融</w:t>
            </w:r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等等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）</w:t>
            </w:r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控制高风险的</w:t>
            </w:r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经营性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贷款</w:t>
            </w:r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的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投放</w:t>
            </w:r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。</w:t>
            </w:r>
          </w:p>
          <w:p w:rsidR="00A86B55" w:rsidRP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A86B55" w:rsidRPr="00A86B55" w:rsidRDefault="00A86B55" w:rsidP="00A86B55">
            <w:pPr>
              <w:numPr>
                <w:ilvl w:val="0"/>
                <w:numId w:val="13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A86B55">
              <w:rPr>
                <w:rFonts w:asciiTheme="minorEastAsia" w:eastAsiaTheme="minorEastAsia" w:hAnsiTheme="minorEastAsia" w:hint="eastAsia"/>
                <w:b/>
                <w:sz w:val="24"/>
              </w:rPr>
              <w:t>“C+SIE+R”金融模式是怎么样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的</w:t>
            </w:r>
            <w:r w:rsidRPr="00A86B55">
              <w:rPr>
                <w:rFonts w:asciiTheme="minorEastAsia" w:eastAsiaTheme="minorEastAsia" w:hAnsiTheme="minorEastAsia" w:hint="eastAsia"/>
                <w:b/>
                <w:sz w:val="24"/>
              </w:rPr>
              <w:t>？</w:t>
            </w:r>
          </w:p>
          <w:p w:rsidR="00A86B55" w:rsidRP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C+SIE+R是平安银行前三年专业化、集约化、综合金融+物联网金融四大金融特色的基础上一个产品和模式的升级。我们积累了一大批行业龙头客户——C，在C基础上把供应链、产业链、生态圈再继续延伸，行业当中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又</w:t>
            </w:r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产生零售和个人客户，我们叫C+SIE+R，这就是全产业</w:t>
            </w:r>
            <w:proofErr w:type="gramStart"/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链金融</w:t>
            </w:r>
            <w:proofErr w:type="gramEnd"/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模式，也叫行业金融服务模式深化，是平安银行现在金融形势下的独创，也是平安银行今后几年主打模式。</w:t>
            </w:r>
          </w:p>
          <w:p w:rsidR="00A86B55" w:rsidRP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A86B55" w:rsidRPr="00A86B55" w:rsidRDefault="00A86B55" w:rsidP="00A86B55">
            <w:pPr>
              <w:numPr>
                <w:ilvl w:val="0"/>
                <w:numId w:val="13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A86B55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平安银行怎么做到成本收入</w:t>
            </w:r>
            <w:proofErr w:type="gramStart"/>
            <w:r w:rsidRPr="00A86B55">
              <w:rPr>
                <w:rFonts w:asciiTheme="minorEastAsia" w:eastAsiaTheme="minorEastAsia" w:hAnsiTheme="minorEastAsia" w:hint="eastAsia"/>
                <w:b/>
                <w:sz w:val="24"/>
              </w:rPr>
              <w:t>比持续</w:t>
            </w:r>
            <w:proofErr w:type="gramEnd"/>
            <w:r w:rsidRPr="00A86B55">
              <w:rPr>
                <w:rFonts w:asciiTheme="minorEastAsia" w:eastAsiaTheme="minorEastAsia" w:hAnsiTheme="minorEastAsia" w:hint="eastAsia"/>
                <w:b/>
                <w:sz w:val="24"/>
              </w:rPr>
              <w:t>下降？</w:t>
            </w:r>
            <w:r w:rsidRPr="00A86B55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</w:p>
          <w:p w:rsid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平安银行</w:t>
            </w:r>
            <w:bookmarkStart w:id="0" w:name="_GoBack"/>
            <w:bookmarkEnd w:id="0"/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营业收入大幅增长，这是收入成本比降低的关键。</w:t>
            </w:r>
          </w:p>
          <w:p w:rsid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</w:p>
          <w:p w:rsidR="00A86B55" w:rsidRPr="00A86B55" w:rsidRDefault="00A86B55" w:rsidP="00A86B55">
            <w:pPr>
              <w:numPr>
                <w:ilvl w:val="0"/>
                <w:numId w:val="13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 w:cs="宋体"/>
                <w:b/>
                <w:sz w:val="24"/>
                <w:lang w:val="zh-CN"/>
              </w:rPr>
            </w:pPr>
            <w:r w:rsidRPr="00A86B55">
              <w:rPr>
                <w:rFonts w:asciiTheme="minorEastAsia" w:eastAsiaTheme="minorEastAsia" w:hAnsiTheme="minorEastAsia" w:hint="eastAsia"/>
                <w:b/>
                <w:sz w:val="24"/>
              </w:rPr>
              <w:t>产业基金在挑选项目、合作伙伴时对风险和收益的</w:t>
            </w:r>
            <w:proofErr w:type="gramStart"/>
            <w:r w:rsidRPr="00A86B55">
              <w:rPr>
                <w:rFonts w:asciiTheme="minorEastAsia" w:eastAsiaTheme="minorEastAsia" w:hAnsiTheme="minorEastAsia" w:hint="eastAsia"/>
                <w:b/>
                <w:sz w:val="24"/>
              </w:rPr>
              <w:t>考量</w:t>
            </w:r>
            <w:proofErr w:type="gramEnd"/>
            <w:r w:rsidRPr="00A86B55">
              <w:rPr>
                <w:rFonts w:asciiTheme="minorEastAsia" w:eastAsiaTheme="minorEastAsia" w:hAnsiTheme="minorEastAsia" w:hint="eastAsia"/>
                <w:b/>
                <w:sz w:val="24"/>
              </w:rPr>
              <w:t>？</w:t>
            </w:r>
            <w:r w:rsidRPr="00A86B55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 xml:space="preserve"> </w:t>
            </w:r>
          </w:p>
          <w:p w:rsidR="00A86B55" w:rsidRP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产业基金项目选择方向主要是龙头企业资源整合、产业升级、基础设施建设、惠民工程。</w:t>
            </w:r>
          </w:p>
          <w:p w:rsidR="00A86B55" w:rsidRP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A86B55" w:rsidRPr="00A86B55" w:rsidRDefault="00A86B55" w:rsidP="00A86B55">
            <w:pPr>
              <w:numPr>
                <w:ilvl w:val="0"/>
                <w:numId w:val="13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A86B55">
              <w:rPr>
                <w:rFonts w:asciiTheme="minorEastAsia" w:eastAsiaTheme="minorEastAsia" w:hAnsiTheme="minorEastAsia" w:hint="eastAsia"/>
                <w:b/>
                <w:sz w:val="24"/>
              </w:rPr>
              <w:t>二季度手续费增速放缓的原因？</w:t>
            </w:r>
          </w:p>
          <w:p w:rsidR="00A86B55" w:rsidRP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平安银行手续费收入在二季度仍保持强劲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增长</w:t>
            </w:r>
            <w:r w:rsidRPr="00A86B55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。随着手续费收入的基数不断扩大，保持其高位增长也需要更大的动力。我们希望通过打造新的商业模式，未来能够保持良好增速，这也是银行转型的必然选择。</w:t>
            </w:r>
          </w:p>
          <w:p w:rsidR="00A86B55" w:rsidRP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A86B55" w:rsidRPr="00A86B55" w:rsidRDefault="00A86B55" w:rsidP="00A86B55">
            <w:pPr>
              <w:numPr>
                <w:ilvl w:val="0"/>
                <w:numId w:val="13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A86B55">
              <w:rPr>
                <w:rFonts w:asciiTheme="minorEastAsia" w:eastAsiaTheme="minorEastAsia" w:hAnsiTheme="minorEastAsia" w:hint="eastAsia"/>
                <w:b/>
                <w:sz w:val="24"/>
              </w:rPr>
              <w:t>平安集团对银行零售业务支持？</w:t>
            </w:r>
          </w:p>
          <w:p w:rsid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hint="eastAsia"/>
                <w:sz w:val="24"/>
              </w:rPr>
            </w:pPr>
            <w:r w:rsidRPr="00A86B55">
              <w:rPr>
                <w:rFonts w:asciiTheme="minorEastAsia" w:eastAsiaTheme="minorEastAsia" w:hAnsiTheme="minorEastAsia" w:hint="eastAsia"/>
                <w:sz w:val="24"/>
              </w:rPr>
              <w:t>零售转型是把平安集团的客户资源、科技资源、品牌影响力资源等整合。</w:t>
            </w:r>
          </w:p>
          <w:p w:rsidR="00A86B55" w:rsidRP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A86B55">
              <w:rPr>
                <w:rFonts w:asciiTheme="minorEastAsia" w:eastAsiaTheme="minorEastAsia" w:hAnsiTheme="minorEastAsia" w:hint="eastAsia"/>
                <w:sz w:val="24"/>
              </w:rPr>
              <w:t>零售业务分三步走。第一步是打基础，目前已完善产品服务渠道、团队、系统等。集团目前积累了1.1亿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线下客户</w:t>
            </w:r>
            <w:r w:rsidRPr="00A86B55">
              <w:rPr>
                <w:rFonts w:asciiTheme="minorEastAsia" w:eastAsiaTheme="minorEastAsia" w:hAnsiTheme="minorEastAsia" w:hint="eastAsia"/>
                <w:sz w:val="24"/>
              </w:rPr>
              <w:t>及2.4亿互联网客户，未来我们将发力客户迁徙。第二步是利用大数据打造智能银行，未来将实行精准营销。第三步是打磨产品。平安集团拥有金融全牌照，客户、科技及产品资源整合非常方便，未来将催生一个巨大的发展空间。</w:t>
            </w:r>
          </w:p>
          <w:p w:rsidR="00A86B55" w:rsidRP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A86B55" w:rsidRPr="00A86B55" w:rsidRDefault="00A86B55" w:rsidP="00A86B55">
            <w:pPr>
              <w:numPr>
                <w:ilvl w:val="0"/>
                <w:numId w:val="13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A86B55">
              <w:rPr>
                <w:rFonts w:asciiTheme="minorEastAsia" w:eastAsiaTheme="minorEastAsia" w:hAnsiTheme="minorEastAsia" w:hint="eastAsia"/>
                <w:b/>
                <w:sz w:val="24"/>
              </w:rPr>
              <w:t>不良率情况？</w:t>
            </w:r>
          </w:p>
          <w:p w:rsidR="00A86B55" w:rsidRP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A86B55">
              <w:rPr>
                <w:rFonts w:asciiTheme="minorEastAsia" w:eastAsiaTheme="minorEastAsia" w:hAnsiTheme="minorEastAsia" w:hint="eastAsia"/>
                <w:sz w:val="24"/>
              </w:rPr>
              <w:t>2016年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上半年，银行业资产质量受宏观经济下行影响，整体呈现下降趋势。截至</w:t>
            </w:r>
            <w:r w:rsidRPr="00A86B55">
              <w:rPr>
                <w:rFonts w:asciiTheme="minorEastAsia" w:eastAsiaTheme="minorEastAsia" w:hAnsiTheme="minorEastAsia" w:hint="eastAsia"/>
                <w:sz w:val="24"/>
              </w:rPr>
              <w:t>2016年6月，平安银行不良率为1.56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%</w:t>
            </w:r>
            <w:r w:rsidRPr="00A86B55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优于</w:t>
            </w:r>
            <w:r w:rsidRPr="00A86B55">
              <w:rPr>
                <w:rFonts w:asciiTheme="minorEastAsia" w:eastAsiaTheme="minorEastAsia" w:hAnsiTheme="minorEastAsia" w:hint="eastAsia"/>
                <w:sz w:val="24"/>
              </w:rPr>
              <w:t>行业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平均水平</w:t>
            </w:r>
            <w:r w:rsidRPr="00A86B5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A86B55" w:rsidRP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A86B55">
              <w:rPr>
                <w:rFonts w:asciiTheme="minorEastAsia" w:eastAsiaTheme="minorEastAsia" w:hAnsiTheme="minorEastAsia" w:hint="eastAsia"/>
                <w:sz w:val="24"/>
              </w:rPr>
              <w:t>未来，平安银行将继续采取客户哑铃型战略，主要服务于质量较好且违约率较低的大客户、</w:t>
            </w:r>
            <w:proofErr w:type="gramStart"/>
            <w:r w:rsidRPr="00A86B55">
              <w:rPr>
                <w:rFonts w:asciiTheme="minorEastAsia" w:eastAsiaTheme="minorEastAsia" w:hAnsiTheme="minorEastAsia" w:hint="eastAsia"/>
                <w:sz w:val="24"/>
              </w:rPr>
              <w:t>优客户以及微贷</w:t>
            </w:r>
            <w:proofErr w:type="gramEnd"/>
            <w:r w:rsidRPr="00A86B55">
              <w:rPr>
                <w:rFonts w:asciiTheme="minorEastAsia" w:eastAsiaTheme="minorEastAsia" w:hAnsiTheme="minorEastAsia" w:hint="eastAsia"/>
                <w:sz w:val="24"/>
              </w:rPr>
              <w:t>和消费性贷款，做好风险把控，促使平安银行整体问题资产保持相对平稳。</w:t>
            </w:r>
          </w:p>
          <w:p w:rsidR="00A86B55" w:rsidRPr="00A86B55" w:rsidRDefault="00A86B55" w:rsidP="00A86B55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A86B55" w:rsidRPr="00A86B55" w:rsidRDefault="00A86B55" w:rsidP="00A86B55">
            <w:pPr>
              <w:numPr>
                <w:ilvl w:val="0"/>
                <w:numId w:val="13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A86B55">
              <w:rPr>
                <w:rFonts w:asciiTheme="minorEastAsia" w:eastAsiaTheme="minorEastAsia" w:hAnsiTheme="minorEastAsia" w:hint="eastAsia"/>
                <w:b/>
                <w:sz w:val="24"/>
              </w:rPr>
              <w:t>未来，平安银行有没有资本补充计划？</w:t>
            </w:r>
          </w:p>
          <w:p w:rsidR="00A86B55" w:rsidRPr="00A86B55" w:rsidRDefault="00A86B55" w:rsidP="00A86B55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A86B55">
              <w:rPr>
                <w:rFonts w:asciiTheme="minorEastAsia" w:eastAsiaTheme="minorEastAsia" w:hAnsiTheme="minorEastAsia" w:hint="eastAsia"/>
                <w:sz w:val="24"/>
              </w:rPr>
              <w:t>答：2016年上半年补充了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200</w:t>
            </w:r>
            <w:r w:rsidRPr="00A86B55">
              <w:rPr>
                <w:rFonts w:asciiTheme="minorEastAsia" w:eastAsiaTheme="minorEastAsia" w:hAnsiTheme="minorEastAsia" w:hint="eastAsia"/>
                <w:sz w:val="24"/>
              </w:rPr>
              <w:t>亿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优先股和100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亿二级债</w:t>
            </w:r>
            <w:proofErr w:type="gramEnd"/>
            <w:r w:rsidRPr="00A86B55">
              <w:rPr>
                <w:rFonts w:asciiTheme="minorEastAsia" w:eastAsiaTheme="minorEastAsia" w:hAnsiTheme="minorEastAsia" w:hint="eastAsia"/>
                <w:sz w:val="24"/>
              </w:rPr>
              <w:t>之后，平安银行各项指标均符合监管规定。随着业务快速发展，包括对零售转型的支持、监管政策的变化、监管政策的实施，我们将积极的保持对资本状况的评估，同时做好相关计划。</w:t>
            </w:r>
          </w:p>
          <w:p w:rsidR="00A86B55" w:rsidRPr="00A86B55" w:rsidRDefault="00A86B55" w:rsidP="00A86B55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EE1C10" w:rsidRPr="00111885" w:rsidRDefault="00D230C1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团体接待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未签署《承诺书》。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217D1A" w:rsidP="00A86B55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86B55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</w:t>
            </w:r>
            <w:r w:rsidR="00A86B5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中期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业绩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A86B55">
              <w:rPr>
                <w:rFonts w:ascii="Arial" w:hAnsi="Arial" w:hint="eastAsia"/>
                <w:bCs/>
                <w:iCs/>
                <w:color w:val="000000"/>
                <w:sz w:val="24"/>
              </w:rPr>
              <w:t>、零售开放日</w:t>
            </w:r>
            <w:r w:rsidR="00A86B55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（请参见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761259" w:rsidP="00A86B55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4E09D8">
              <w:rPr>
                <w:rFonts w:ascii="Arial" w:hAnsi="Arial"/>
                <w:bCs/>
                <w:iCs/>
                <w:color w:val="000000"/>
                <w:sz w:val="24"/>
              </w:rPr>
              <w:t>6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A86B55">
              <w:rPr>
                <w:rFonts w:ascii="Arial" w:hAnsi="Arial" w:hint="eastAsia"/>
                <w:bCs/>
                <w:iCs/>
                <w:color w:val="000000"/>
                <w:sz w:val="24"/>
              </w:rPr>
              <w:t>8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A86B55">
              <w:rPr>
                <w:rFonts w:ascii="Arial" w:hAnsi="Arial" w:hint="eastAsia"/>
                <w:bCs/>
                <w:iCs/>
                <w:color w:val="000000"/>
                <w:sz w:val="24"/>
              </w:rPr>
              <w:t>12</w:t>
            </w:r>
          </w:p>
        </w:tc>
      </w:tr>
    </w:tbl>
    <w:p w:rsidR="00EE1C10" w:rsidRPr="00111885" w:rsidRDefault="00EE1C10" w:rsidP="00EE1C10">
      <w:pPr>
        <w:jc w:val="center"/>
        <w:rPr>
          <w:rFonts w:ascii="Arial" w:hAnsi="Arial"/>
          <w:sz w:val="24"/>
        </w:rPr>
      </w:pPr>
    </w:p>
    <w:p w:rsidR="00941F1C" w:rsidRPr="00111885" w:rsidRDefault="00941F1C">
      <w:pPr>
        <w:rPr>
          <w:rFonts w:ascii="Arial" w:hAnsi="Arial"/>
          <w:sz w:val="24"/>
        </w:rPr>
      </w:pPr>
    </w:p>
    <w:sectPr w:rsidR="00941F1C" w:rsidRPr="00111885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8B" w:rsidRDefault="00643F8B" w:rsidP="00D96584">
      <w:r>
        <w:separator/>
      </w:r>
    </w:p>
  </w:endnote>
  <w:endnote w:type="continuationSeparator" w:id="0">
    <w:p w:rsidR="00643F8B" w:rsidRDefault="00643F8B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8B" w:rsidRDefault="00643F8B" w:rsidP="00D96584">
      <w:r>
        <w:separator/>
      </w:r>
    </w:p>
  </w:footnote>
  <w:footnote w:type="continuationSeparator" w:id="0">
    <w:p w:rsidR="00643F8B" w:rsidRDefault="00643F8B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9006C5"/>
    <w:multiLevelType w:val="hybridMultilevel"/>
    <w:tmpl w:val="7F2E6DD4"/>
    <w:lvl w:ilvl="0" w:tplc="E4FC31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7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9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7E037A77"/>
    <w:multiLevelType w:val="hybridMultilevel"/>
    <w:tmpl w:val="D406606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2718D"/>
    <w:rsid w:val="0006019F"/>
    <w:rsid w:val="000B3693"/>
    <w:rsid w:val="00101C48"/>
    <w:rsid w:val="00111885"/>
    <w:rsid w:val="00130F3C"/>
    <w:rsid w:val="0015474D"/>
    <w:rsid w:val="0015535F"/>
    <w:rsid w:val="001B28D3"/>
    <w:rsid w:val="001B33AC"/>
    <w:rsid w:val="001B72DE"/>
    <w:rsid w:val="001D2529"/>
    <w:rsid w:val="001E2C63"/>
    <w:rsid w:val="00217D1A"/>
    <w:rsid w:val="003317E5"/>
    <w:rsid w:val="0036587E"/>
    <w:rsid w:val="003B107D"/>
    <w:rsid w:val="003B721F"/>
    <w:rsid w:val="0043629D"/>
    <w:rsid w:val="004B47B1"/>
    <w:rsid w:val="004E09D8"/>
    <w:rsid w:val="0051123B"/>
    <w:rsid w:val="00535D6F"/>
    <w:rsid w:val="00550FD9"/>
    <w:rsid w:val="00622C3A"/>
    <w:rsid w:val="00623A26"/>
    <w:rsid w:val="0063326E"/>
    <w:rsid w:val="00643F8B"/>
    <w:rsid w:val="006A1753"/>
    <w:rsid w:val="006C008C"/>
    <w:rsid w:val="006F64B3"/>
    <w:rsid w:val="00761259"/>
    <w:rsid w:val="007B53AA"/>
    <w:rsid w:val="007C7A86"/>
    <w:rsid w:val="0084198D"/>
    <w:rsid w:val="008710F9"/>
    <w:rsid w:val="00890C7B"/>
    <w:rsid w:val="008A0A92"/>
    <w:rsid w:val="008A4E3E"/>
    <w:rsid w:val="00921892"/>
    <w:rsid w:val="00941F1C"/>
    <w:rsid w:val="00951547"/>
    <w:rsid w:val="00975DA9"/>
    <w:rsid w:val="009E745D"/>
    <w:rsid w:val="009F13CD"/>
    <w:rsid w:val="00A06297"/>
    <w:rsid w:val="00A140B8"/>
    <w:rsid w:val="00A234EE"/>
    <w:rsid w:val="00A23D7B"/>
    <w:rsid w:val="00A86B55"/>
    <w:rsid w:val="00AB67BB"/>
    <w:rsid w:val="00AC6FAF"/>
    <w:rsid w:val="00AF4A55"/>
    <w:rsid w:val="00B31C4E"/>
    <w:rsid w:val="00B52A06"/>
    <w:rsid w:val="00B84A84"/>
    <w:rsid w:val="00BA2067"/>
    <w:rsid w:val="00BB09B4"/>
    <w:rsid w:val="00BB741D"/>
    <w:rsid w:val="00BE11BC"/>
    <w:rsid w:val="00C35BCB"/>
    <w:rsid w:val="00C51768"/>
    <w:rsid w:val="00C81677"/>
    <w:rsid w:val="00CA5B7A"/>
    <w:rsid w:val="00CB4AC9"/>
    <w:rsid w:val="00D230C1"/>
    <w:rsid w:val="00D8302A"/>
    <w:rsid w:val="00D87038"/>
    <w:rsid w:val="00D96584"/>
    <w:rsid w:val="00E733AB"/>
    <w:rsid w:val="00EE1C10"/>
    <w:rsid w:val="00EE4F68"/>
    <w:rsid w:val="00EE4F97"/>
    <w:rsid w:val="00EE7C01"/>
    <w:rsid w:val="00F16F75"/>
    <w:rsid w:val="00FE4AFD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customStyle="1" w:styleId="Default">
    <w:name w:val="Default"/>
    <w:rsid w:val="001B28D3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222</Words>
  <Characters>1267</Characters>
  <Application>Microsoft Office Word</Application>
  <DocSecurity>0</DocSecurity>
  <Lines>10</Lines>
  <Paragraphs>2</Paragraphs>
  <ScaleCrop>false</ScaleCrop>
  <Company>sdb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2016-09-27T06:11:00Z</dcterms:created>
  <dcterms:modified xsi:type="dcterms:W3CDTF">2016-09-27T06:21:00Z</dcterms:modified>
</cp:coreProperties>
</file>