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48F" w:rsidRDefault="00B66D5B" w:rsidP="00C679B4">
      <w:pPr>
        <w:spacing w:line="360" w:lineRule="auto"/>
        <w:rPr>
          <w:rFonts w:ascii="宋体" w:hAnsi="宋体" w:cs="宋体"/>
          <w:color w:val="000000"/>
          <w:sz w:val="24"/>
          <w:shd w:val="clear" w:color="050000" w:fill="auto"/>
        </w:rPr>
      </w:pPr>
      <w:r>
        <w:rPr>
          <w:rFonts w:ascii="宋体" w:hAnsi="宋体" w:cs="宋体"/>
          <w:color w:val="000000"/>
          <w:sz w:val="24"/>
          <w:shd w:val="clear" w:color="050000" w:fill="auto"/>
        </w:rPr>
        <w:t>证券代码：300407                                    证券简称：凯发电气</w:t>
      </w:r>
    </w:p>
    <w:p w:rsidR="00B6648F" w:rsidRDefault="00B66D5B" w:rsidP="00C679B4"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hd w:val="clear" w:color="060000" w:fill="auto"/>
        </w:rPr>
      </w:pPr>
      <w:r>
        <w:rPr>
          <w:rFonts w:ascii="宋体" w:hAnsi="宋体" w:cs="宋体"/>
          <w:b/>
          <w:color w:val="000000"/>
          <w:sz w:val="32"/>
          <w:shd w:val="clear" w:color="060000" w:fill="auto"/>
        </w:rPr>
        <w:t>天津凯发电气股份有限公司投资者关系活动记录表</w:t>
      </w:r>
    </w:p>
    <w:p w:rsidR="00B6648F" w:rsidRDefault="00B66D5B" w:rsidP="00C679B4">
      <w:pPr>
        <w:spacing w:line="360" w:lineRule="auto"/>
        <w:rPr>
          <w:rFonts w:ascii="宋体" w:hAnsi="宋体" w:cs="宋体"/>
          <w:color w:val="000000"/>
          <w:sz w:val="24"/>
          <w:shd w:val="clear" w:color="050000" w:fill="auto"/>
        </w:rPr>
      </w:pPr>
      <w:r>
        <w:rPr>
          <w:rFonts w:ascii="宋体" w:hAnsi="宋体" w:cs="宋体"/>
          <w:color w:val="000000"/>
          <w:sz w:val="24"/>
          <w:shd w:val="clear" w:color="050000" w:fill="auto"/>
        </w:rPr>
        <w:t>编号：201</w:t>
      </w:r>
      <w:r>
        <w:rPr>
          <w:rFonts w:ascii="宋体" w:hAnsi="宋体" w:cs="宋体" w:hint="eastAsia"/>
          <w:color w:val="000000"/>
          <w:sz w:val="24"/>
          <w:shd w:val="clear" w:color="050000" w:fill="auto"/>
        </w:rPr>
        <w:t>6</w:t>
      </w:r>
      <w:r w:rsidR="00582651">
        <w:rPr>
          <w:rFonts w:ascii="宋体" w:hAnsi="宋体" w:cs="宋体"/>
          <w:color w:val="000000"/>
          <w:sz w:val="24"/>
          <w:shd w:val="clear" w:color="050000" w:fill="auto"/>
        </w:rPr>
        <w:t>-00</w:t>
      </w:r>
      <w:r w:rsidR="00C053AF">
        <w:rPr>
          <w:rFonts w:ascii="宋体" w:hAnsi="宋体" w:cs="宋体" w:hint="eastAsia"/>
          <w:color w:val="000000"/>
          <w:sz w:val="24"/>
          <w:shd w:val="clear" w:color="050000" w:fill="auto"/>
        </w:rPr>
        <w:t>7</w:t>
      </w:r>
    </w:p>
    <w:tbl>
      <w:tblPr>
        <w:tblW w:w="8522" w:type="dxa"/>
        <w:jc w:val="center"/>
        <w:tblLayout w:type="fixed"/>
        <w:tblLook w:val="04A0"/>
      </w:tblPr>
      <w:tblGrid>
        <w:gridCol w:w="2269"/>
        <w:gridCol w:w="6253"/>
      </w:tblGrid>
      <w:tr w:rsidR="00B6648F">
        <w:trPr>
          <w:trHeight w:val="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3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投资者关系活动类别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48F" w:rsidRDefault="00B66D5B" w:rsidP="00C679B4">
            <w:pPr>
              <w:spacing w:line="360" w:lineRule="auto"/>
              <w:ind w:firstLine="482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■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特定对象调研</w:t>
            </w: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分析师会议</w:t>
            </w:r>
          </w:p>
          <w:p w:rsidR="00B6648F" w:rsidRDefault="00B66D5B" w:rsidP="00C679B4">
            <w:pPr>
              <w:spacing w:line="360" w:lineRule="auto"/>
              <w:ind w:firstLine="482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媒体采访</w:t>
            </w: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业绩说明会</w:t>
            </w:r>
          </w:p>
          <w:p w:rsidR="00B6648F" w:rsidRDefault="00B66D5B" w:rsidP="00C679B4">
            <w:pPr>
              <w:spacing w:line="360" w:lineRule="auto"/>
              <w:ind w:firstLine="482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新闻发布会</w:t>
            </w: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路演活动</w:t>
            </w:r>
          </w:p>
          <w:p w:rsidR="00B6648F" w:rsidRDefault="00B66D5B" w:rsidP="00C679B4">
            <w:pPr>
              <w:tabs>
                <w:tab w:val="center" w:pos="3199"/>
                <w:tab w:val="left" w:pos="3285"/>
              </w:tabs>
              <w:spacing w:line="360" w:lineRule="auto"/>
              <w:ind w:firstLine="482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现场参观</w:t>
            </w: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ab/>
              <w:t xml:space="preserve">           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一对一沟通</w:t>
            </w:r>
          </w:p>
          <w:p w:rsidR="00B6648F" w:rsidRDefault="00B66D5B" w:rsidP="00C679B4">
            <w:pPr>
              <w:tabs>
                <w:tab w:val="center" w:pos="3199"/>
              </w:tabs>
              <w:spacing w:line="360" w:lineRule="auto"/>
              <w:ind w:firstLine="482"/>
              <w:rPr>
                <w:rFonts w:ascii="宋体" w:hAnsi="宋体" w:cs="宋体"/>
                <w:shd w:val="clear" w:color="03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其他（</w:t>
            </w:r>
            <w:r>
              <w:rPr>
                <w:rFonts w:ascii="宋体" w:hAnsi="宋体" w:cs="宋体"/>
                <w:sz w:val="24"/>
                <w:u w:val="single"/>
                <w:shd w:val="clear" w:color="060000" w:fill="auto"/>
              </w:rPr>
              <w:t>请文字说明其他活动内容）</w:t>
            </w:r>
          </w:p>
        </w:tc>
      </w:tr>
      <w:tr w:rsidR="00B6648F">
        <w:trPr>
          <w:trHeight w:val="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3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t>参与单位名称及人员姓名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华夏人寿        谢达成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招商证券        赵智勇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交银康联人寿    陆晓菁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渤海证券        伊晓奕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中邮基金        赵洁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中金公司        易俊丰    张翔</w:t>
            </w:r>
          </w:p>
          <w:p w:rsidR="00582651" w:rsidRDefault="0039100F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中银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>国际        梁金萍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交银施罗德      傅爱兵    王崇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浦银安盛基金    蒋正山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国联证券        虞栋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中欧基金        汤洁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西南证券        李志虹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易方达          祁禾</w:t>
            </w:r>
          </w:p>
          <w:p w:rsidR="00582651" w:rsidRPr="00205C73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广发证券        华鹏伟</w:t>
            </w:r>
          </w:p>
        </w:tc>
      </w:tr>
      <w:tr w:rsidR="00B6648F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时间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201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6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年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>11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月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>1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日下午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>14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：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00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-1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7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：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0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0</w:t>
            </w:r>
          </w:p>
        </w:tc>
      </w:tr>
      <w:tr w:rsidR="00B6648F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地点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凯发电气股份有限公司</w:t>
            </w:r>
          </w:p>
        </w:tc>
      </w:tr>
      <w:tr w:rsidR="00B6648F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上市公司接待人员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2651" w:rsidRDefault="00B66D5B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王伟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（总经理）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 xml:space="preserve">  </w:t>
            </w:r>
          </w:p>
          <w:p w:rsidR="00B6648F" w:rsidRDefault="00B66D5B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蔡登明（董事会秘书）</w:t>
            </w:r>
          </w:p>
          <w:p w:rsidR="00582651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赵一环</w:t>
            </w:r>
            <w:r w:rsidR="00B66D5B">
              <w:rPr>
                <w:rFonts w:ascii="宋体" w:hAnsi="宋体" w:cs="宋体"/>
                <w:sz w:val="24"/>
                <w:shd w:val="clear" w:color="050000" w:fill="auto"/>
              </w:rPr>
              <w:t>（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财务负责人</w:t>
            </w:r>
            <w:r w:rsidR="00B66D5B">
              <w:rPr>
                <w:rFonts w:ascii="宋体" w:hAnsi="宋体" w:cs="宋体"/>
                <w:sz w:val="24"/>
                <w:shd w:val="clear" w:color="050000" w:fill="auto"/>
              </w:rPr>
              <w:t>）</w:t>
            </w:r>
            <w:r w:rsidR="00B66D5B">
              <w:rPr>
                <w:rFonts w:ascii="宋体" w:hAnsi="宋体" w:cs="宋体" w:hint="eastAsia"/>
                <w:sz w:val="24"/>
                <w:shd w:val="clear" w:color="050000" w:fill="auto"/>
              </w:rPr>
              <w:t xml:space="preserve">   </w:t>
            </w:r>
          </w:p>
          <w:p w:rsidR="00582651" w:rsidRPr="00C679B4" w:rsidRDefault="00582651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王瑞瑾（证券事务代表）</w:t>
            </w:r>
          </w:p>
          <w:p w:rsidR="00B6648F" w:rsidRDefault="00B66D5B" w:rsidP="00C679B4">
            <w:pPr>
              <w:spacing w:line="360" w:lineRule="auto"/>
              <w:rPr>
                <w:rFonts w:ascii="宋体" w:hAnsi="宋体" w:cs="宋体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张磊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（证券助理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）</w:t>
            </w:r>
          </w:p>
        </w:tc>
      </w:tr>
      <w:tr w:rsidR="00B6648F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30000" w:fill="auto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  <w:lastRenderedPageBreak/>
              <w:t>投资者关系活动主要内容介绍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EC9" w:rsidRDefault="00F503FF" w:rsidP="00C679B4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公司总经理王伟</w:t>
            </w:r>
            <w:r w:rsidR="00964EC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通过视频、ppt介绍公司参加北京、柏林</w:t>
            </w:r>
            <w:r w:rsidR="00964EC9" w:rsidRPr="00F503F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国际轨道交通展</w:t>
            </w:r>
            <w:r w:rsidR="00964EC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情况，介绍RPS典型工程、施工现场、领导及专家团队等情况。</w:t>
            </w:r>
          </w:p>
          <w:p w:rsidR="00F503FF" w:rsidRDefault="00F503FF" w:rsidP="00C679B4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本次会议华夏人寿、招商证券</w:t>
            </w:r>
            <w:r w:rsidR="008A4E8E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渤海证券等16位研究员和投资者与公司总经理王伟、董秘蔡登明、财务负责人赵一环就公司并购事宜、RPS公司具体情况</w:t>
            </w:r>
            <w:r w:rsidR="006A4CE8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等问题展开沟通，</w:t>
            </w:r>
            <w:r w:rsidR="006A4CE8" w:rsidRPr="006A4CE8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议主要内容纪要如下：</w:t>
            </w:r>
          </w:p>
          <w:p w:rsidR="00061E0B" w:rsidRDefault="00061E0B" w:rsidP="00C679B4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C679B4" w:rsidRPr="00061E0B" w:rsidRDefault="00964EC9" w:rsidP="00C679B4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问题一：请介绍一下关于今年公司业绩</w:t>
            </w:r>
            <w:r w:rsidR="00C679B4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及</w:t>
            </w:r>
            <w:r w:rsidR="008E4102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对公司未来发展的</w:t>
            </w:r>
            <w:r w:rsidR="00C679B4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展望</w:t>
            </w:r>
          </w:p>
          <w:p w:rsidR="00F503FF" w:rsidRDefault="00C679B4" w:rsidP="00BF41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 xml:space="preserve"> 公司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三季报比较符合预期，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在手订单也在稳步增长，公司主营业务依旧致力于发展轨道交通，</w:t>
            </w:r>
            <w:r w:rsidR="00964EC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继续拓宽公司产品领域。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公司近一两年加快拓宽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地铁项目，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在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将近30个城市有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成熟项目。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全国城轨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还处于</w:t>
            </w:r>
            <w:r w:rsidR="00964EC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高速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发展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状态，</w:t>
            </w:r>
            <w:r w:rsidR="003455D4" w:rsidRP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具权威网站预测：至2050年，全国将建设城轨达2.8万公里。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在铁路发展上，通过发改委的铁路中长期规划我们得知：至2025年在2015年的基础上翻一倍，2015年开通里程为1.9万公里，到2025年规划为3.8万公里。在未来十年高铁还将会处于高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强度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投资，国内市场情况对公司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将会是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有一个很好的支撑。公司完成对RPS交割以后将会研究如何将新技术落地到国内，公司将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尽快把接触网、固体</w:t>
            </w:r>
            <w:r w:rsidR="003455D4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绝缘开关柜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顺利落地，这将极大拓宽公司产品线。2009年与标的公司成立天津保富，目前市场地位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处于前列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，根据目前手里订单情况，明年后年利润将有大幅增长。</w:t>
            </w:r>
            <w:r w:rsidR="000644E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固体绝缘开关柜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是一个新的产品，特点为无污染气体、体积更小、更适用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恶略环境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和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高海拔地区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，同时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符合大气环保要求，目前在德国以完成实验，美国</w:t>
            </w:r>
            <w:r w:rsidR="00DD0B6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、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德国均已有订单在洽谈。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国内客户同样兴趣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非常大，将来订单需求也同样较大，虽然替代旧设备会有一个过程，但将来使用</w:t>
            </w:r>
            <w:r w:rsidR="000644E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固体绝缘开关柜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等环保产品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lastRenderedPageBreak/>
              <w:t>将是趋势。发达国家目前已经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开始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逐步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禁止使用旧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的非环保</w:t>
            </w:r>
            <w:r w:rsidR="00BF41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设备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。公司将使用全套RPS</w:t>
            </w:r>
            <w:r w:rsidR="00DD0B6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接触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网关键零部件、技术、模具和生产工艺。</w:t>
            </w:r>
            <w:r w:rsidR="00DD0B6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目前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引进来将面临很多问题，其中包括场地、设备、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资金投入特别是需要生产许可证，所以还需要一定时间。公司打算把综合</w:t>
            </w:r>
            <w:r w:rsidR="008E4102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自动化系统等成熟系统通过RPS推向国外，同时弥补RPS公司的不足和缺项，使双方形成协同效应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。</w:t>
            </w:r>
          </w:p>
          <w:p w:rsidR="00061E0B" w:rsidRDefault="00061E0B" w:rsidP="00BF41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8E4102" w:rsidRPr="00061E0B" w:rsidRDefault="008E4102" w:rsidP="00BF41BB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问题二：公司订单是否存在季节性效应</w:t>
            </w:r>
            <w:r w:rsidR="00DD0B69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？</w:t>
            </w:r>
          </w:p>
          <w:p w:rsidR="00DD0B69" w:rsidRDefault="00850F9A" w:rsidP="00BF41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一般每年年初铁路、城轨</w:t>
            </w:r>
            <w:r w:rsidR="00DD0B6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制定计划，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招标较少，</w:t>
            </w:r>
            <w:r w:rsidR="00DD0B6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第二季度开始招标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多点</w:t>
            </w:r>
            <w:r w:rsidR="00DD0B69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、第三四季度进入一个高峰时期，今年第三季度末公司国内在手订单在十亿元左右，。</w:t>
            </w:r>
          </w:p>
          <w:p w:rsidR="00061E0B" w:rsidRDefault="00061E0B" w:rsidP="00BF41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DD0B69" w:rsidRPr="00061E0B" w:rsidRDefault="005013D3" w:rsidP="00BF41BB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问题三：</w:t>
            </w:r>
            <w:r w:rsidR="00DD0B69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RPS将来的盈利情况如何？</w:t>
            </w:r>
          </w:p>
          <w:p w:rsidR="005B06B6" w:rsidRDefault="00DD0B69" w:rsidP="00716FDF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目前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RPS公司为亏损状态，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尽调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显示：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主要为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德国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市场竞争充分，项目毛利率较低；人力成本占比较高，将近40%；德国境外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项目大幅减少，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而该类项目往往毛利较高。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。在这次并购中，卖方已精简管理人员，目前正在和工会进行相关协议谈判，且已达成适当延长工作时间等共识，从而降低成本。根据相关财务数据预测，在2017年RPS公司将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可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实现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盈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亏平衡，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RPS不会影响公司并表数据。德联邦将在2017年开始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加大</w:t>
            </w:r>
            <w:r w:rsidR="005013D3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基础设施投资，RPS业务将会随投资大幅增长，但不会很快反应在报表中</w:t>
            </w:r>
            <w:r w:rsidR="003C7B7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，这是</w:t>
            </w:r>
            <w:r w:rsidR="00716FDF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一个逐步的过程。公司希望RPS用</w:t>
            </w:r>
            <w:r w:rsidR="003C7B7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德联邦项目维持收支平衡，</w:t>
            </w:r>
            <w:r w:rsidR="005B06B6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德国</w:t>
            </w:r>
            <w:r w:rsidR="003C7B7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境外项目获取利润，</w:t>
            </w:r>
            <w:r w:rsidR="005B06B6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将</w:t>
            </w:r>
            <w:r w:rsidR="003C7B7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加大境外项目力度，公司将大力支持。公司正在研究如何将RPS</w:t>
            </w:r>
            <w:r w:rsidR="005B06B6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产品技术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引入</w:t>
            </w:r>
            <w:r w:rsidR="003C7B7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国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内</w:t>
            </w:r>
            <w:r w:rsidR="003C7B7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，</w:t>
            </w:r>
            <w:r w:rsidR="005B06B6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可以从技术难度大的项目入手，从解决客户难题出发，最终落户中国。</w:t>
            </w:r>
          </w:p>
          <w:p w:rsidR="00061E0B" w:rsidRPr="00850F9A" w:rsidRDefault="00061E0B" w:rsidP="003C7B77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3C7B77" w:rsidRPr="00061E0B" w:rsidRDefault="003C7B77" w:rsidP="003C7B77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问题四：综合监控系统和直流开关柜在国内的业务情</w:t>
            </w:r>
            <w:r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lastRenderedPageBreak/>
              <w:t>况如何？</w:t>
            </w:r>
          </w:p>
          <w:p w:rsidR="003C7B77" w:rsidRDefault="003C7B77" w:rsidP="003C7B77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直流开关柜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在</w:t>
            </w:r>
            <w:r w:rsidR="005B06B6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市场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处于前列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，市场还处于一个逐步扩大的趋势，往年在8000-9000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万之间，今年订单情况在两亿元左右，幅度增长较大</w:t>
            </w:r>
            <w:r w:rsidR="00B239C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。综合监控项目体量较大，涉及电力监控、车站设备的机电项目监控和其他的消防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等</w:t>
            </w:r>
            <w:r w:rsidR="00B239C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子系统，竞争相对激烈，竞争对手体量比公司较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大，但公司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有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自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己的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优势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，自主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研发的平台系统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能</w:t>
            </w:r>
            <w:r w:rsidR="00FB15A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为公司节约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成本</w:t>
            </w:r>
            <w:r w:rsidR="00B239C7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。</w:t>
            </w:r>
          </w:p>
          <w:p w:rsidR="00061E0B" w:rsidRDefault="00061E0B" w:rsidP="003C7B77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902B26" w:rsidRPr="00061E0B" w:rsidRDefault="005841BD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问题五</w:t>
            </w:r>
            <w:r w:rsidR="00902B26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：直流开关柜适用于哪些铁路？</w:t>
            </w:r>
          </w:p>
          <w:p w:rsidR="00902B26" w:rsidRDefault="00902B26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适用于地铁和城市有轨电车，国铁为交流牵引。</w:t>
            </w:r>
          </w:p>
          <w:p w:rsidR="00061E0B" w:rsidRDefault="00061E0B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902B26" w:rsidRPr="00061E0B" w:rsidRDefault="005841BD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问题六</w:t>
            </w:r>
            <w:r w:rsidR="00902B26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：2016年的收款是否全部为2014年所签订单</w:t>
            </w:r>
          </w:p>
          <w:p w:rsidR="00902B26" w:rsidRDefault="00902B26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不是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这样，大项目周期时间较长，也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不是所有项目周期都是两年，小项目当年即可了结。</w:t>
            </w:r>
          </w:p>
          <w:p w:rsidR="00061E0B" w:rsidRDefault="00061E0B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  <w:p w:rsidR="00902B26" w:rsidRPr="00061E0B" w:rsidRDefault="005841BD" w:rsidP="00902B26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问题七</w:t>
            </w:r>
            <w:r w:rsidR="00902B26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：近两年订单增长</w:t>
            </w:r>
            <w:r w:rsidR="005E26BB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较快但利润并没有体现的原因是什么？</w:t>
            </w:r>
          </w:p>
          <w:p w:rsidR="005E26BB" w:rsidRDefault="005E26BB" w:rsidP="005E26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近两年</w:t>
            </w:r>
            <w:r w:rsidR="00850F9A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收入是在稳步增长，但净利润略有下降，原因有：已交付使用的新基地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折旧较多；上市后人员增加及其薪资有所增加，用以保证合理的薪资制度；管理费用和募投项目都在同步进。既固定资产、管理费用、募投项目、研发费用都在增加，由于公司还在飞速增长的阶段，所以造成了公司资金的投入加大。</w:t>
            </w:r>
          </w:p>
          <w:p w:rsidR="00061E0B" w:rsidRDefault="00061E0B" w:rsidP="005E26BB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</w:p>
          <w:p w:rsidR="005E26BB" w:rsidRPr="00061E0B" w:rsidRDefault="005841BD" w:rsidP="005E26BB">
            <w:pPr>
              <w:spacing w:line="360" w:lineRule="auto"/>
              <w:ind w:firstLine="465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问题八</w:t>
            </w:r>
            <w:r w:rsidR="005E26BB" w:rsidRPr="00061E0B">
              <w:rPr>
                <w:rFonts w:ascii="宋体" w:hAnsi="宋体" w:cs="宋体" w:hint="eastAsia"/>
                <w:b/>
                <w:color w:val="000000"/>
                <w:sz w:val="24"/>
                <w:shd w:val="clear" w:color="050000" w:fill="auto"/>
              </w:rPr>
              <w:t>：公司收购RPS后是否与英国保富还有同业竞争？</w:t>
            </w:r>
          </w:p>
          <w:p w:rsidR="005E26BB" w:rsidRDefault="00850F9A" w:rsidP="005E26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完全取消同业竞争，英国保富目前为工程项目公司，以基建工程</w:t>
            </w:r>
            <w:r w:rsidR="005E26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隧道、路桥、车站等基建项目为主，为了不影响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其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投标等商业活动，已</w:t>
            </w:r>
            <w:r w:rsidR="005E26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与RPS签署协议，在允许范围内</w:t>
            </w:r>
            <w:r w:rsidR="005841BD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lastRenderedPageBreak/>
              <w:t>使用RPS技术</w:t>
            </w:r>
            <w:r w:rsidR="005E26BB">
              <w:rPr>
                <w:rFonts w:ascii="宋体" w:hAnsi="宋体" w:cs="宋体" w:hint="eastAsia"/>
                <w:color w:val="000000"/>
                <w:sz w:val="24"/>
                <w:shd w:val="clear" w:color="050000" w:fill="auto"/>
              </w:rPr>
              <w:t>将会付给费用。</w:t>
            </w:r>
          </w:p>
          <w:p w:rsidR="00061E0B" w:rsidRPr="00061E0B" w:rsidRDefault="00061E0B" w:rsidP="005E26BB">
            <w:pPr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sz w:val="24"/>
                <w:shd w:val="clear" w:color="050000" w:fill="auto"/>
              </w:rPr>
            </w:pPr>
          </w:p>
        </w:tc>
      </w:tr>
      <w:tr w:rsidR="00B6648F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lastRenderedPageBreak/>
              <w:t>附件清单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无</w:t>
            </w:r>
          </w:p>
        </w:tc>
      </w:tr>
      <w:tr w:rsidR="00B6648F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jc w:val="center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日期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648F" w:rsidRDefault="00B66D5B" w:rsidP="00C679B4">
            <w:pPr>
              <w:spacing w:line="360" w:lineRule="auto"/>
              <w:rPr>
                <w:rFonts w:ascii="宋体" w:hAnsi="宋体" w:cs="宋体"/>
                <w:shd w:val="clear" w:color="040000" w:fill="auto"/>
              </w:rPr>
            </w:pPr>
            <w:r>
              <w:rPr>
                <w:rFonts w:ascii="宋体" w:hAnsi="宋体" w:cs="宋体"/>
                <w:sz w:val="24"/>
                <w:shd w:val="clear" w:color="050000" w:fill="auto"/>
              </w:rPr>
              <w:t>201</w:t>
            </w:r>
            <w:r>
              <w:rPr>
                <w:rFonts w:ascii="宋体" w:hAnsi="宋体" w:cs="宋体" w:hint="eastAsia"/>
                <w:sz w:val="24"/>
                <w:shd w:val="clear" w:color="050000" w:fill="auto"/>
              </w:rPr>
              <w:t>6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年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>11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月</w:t>
            </w:r>
            <w:r w:rsidR="00582651">
              <w:rPr>
                <w:rFonts w:ascii="宋体" w:hAnsi="宋体" w:cs="宋体" w:hint="eastAsia"/>
                <w:sz w:val="24"/>
                <w:shd w:val="clear" w:color="050000" w:fill="auto"/>
              </w:rPr>
              <w:t>1</w:t>
            </w:r>
            <w:r>
              <w:rPr>
                <w:rFonts w:ascii="宋体" w:hAnsi="宋体" w:cs="宋体"/>
                <w:sz w:val="24"/>
                <w:shd w:val="clear" w:color="050000" w:fill="auto"/>
              </w:rPr>
              <w:t>日</w:t>
            </w:r>
          </w:p>
        </w:tc>
      </w:tr>
    </w:tbl>
    <w:p w:rsidR="00B6648F" w:rsidRDefault="00B6648F" w:rsidP="00C679B4">
      <w:pPr>
        <w:spacing w:line="360" w:lineRule="auto"/>
        <w:rPr>
          <w:rFonts w:eastAsia="Times New Roman"/>
          <w:shd w:val="clear" w:color="050000" w:fill="auto"/>
        </w:rPr>
      </w:pPr>
    </w:p>
    <w:p w:rsidR="00B6648F" w:rsidRDefault="00B6648F" w:rsidP="00C679B4">
      <w:pPr>
        <w:spacing w:line="360" w:lineRule="auto"/>
        <w:rPr>
          <w:rFonts w:eastAsia="Times New Roman"/>
          <w:shd w:val="clear" w:color="050000" w:fill="auto"/>
        </w:rPr>
      </w:pPr>
    </w:p>
    <w:sectPr w:rsidR="00B6648F" w:rsidSect="00242F6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25" w:rsidRDefault="00163425" w:rsidP="00582651">
      <w:r>
        <w:separator/>
      </w:r>
    </w:p>
  </w:endnote>
  <w:endnote w:type="continuationSeparator" w:id="1">
    <w:p w:rsidR="00163425" w:rsidRDefault="00163425" w:rsidP="0058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25" w:rsidRDefault="00163425" w:rsidP="00582651">
      <w:r>
        <w:separator/>
      </w:r>
    </w:p>
  </w:footnote>
  <w:footnote w:type="continuationSeparator" w:id="1">
    <w:p w:rsidR="00163425" w:rsidRDefault="00163425" w:rsidP="00582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UseMarginsForDrawingGridOrigin/>
  <w:drawingGridHorizontalOrigin w:val="0"/>
  <w:drawingGridVerticalOrigin w:val="0"/>
  <w:doNotShadeFormData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72A27"/>
    <w:rsid w:val="00043174"/>
    <w:rsid w:val="00061E0B"/>
    <w:rsid w:val="000644E2"/>
    <w:rsid w:val="00163425"/>
    <w:rsid w:val="00172A27"/>
    <w:rsid w:val="001C01AE"/>
    <w:rsid w:val="00205C73"/>
    <w:rsid w:val="00242F6C"/>
    <w:rsid w:val="002A1852"/>
    <w:rsid w:val="003455D4"/>
    <w:rsid w:val="0038480E"/>
    <w:rsid w:val="0039100F"/>
    <w:rsid w:val="003C7B77"/>
    <w:rsid w:val="00453A5C"/>
    <w:rsid w:val="00495FB0"/>
    <w:rsid w:val="004D616B"/>
    <w:rsid w:val="005013D3"/>
    <w:rsid w:val="00523D11"/>
    <w:rsid w:val="00582651"/>
    <w:rsid w:val="005841BD"/>
    <w:rsid w:val="005B06B6"/>
    <w:rsid w:val="005E26BB"/>
    <w:rsid w:val="006040F5"/>
    <w:rsid w:val="006A0CCE"/>
    <w:rsid w:val="006A4CE8"/>
    <w:rsid w:val="00716FDF"/>
    <w:rsid w:val="00766ABA"/>
    <w:rsid w:val="007B2756"/>
    <w:rsid w:val="007E37E7"/>
    <w:rsid w:val="008165D4"/>
    <w:rsid w:val="00850F9A"/>
    <w:rsid w:val="008A4E8E"/>
    <w:rsid w:val="008C2486"/>
    <w:rsid w:val="008C4B43"/>
    <w:rsid w:val="008E4102"/>
    <w:rsid w:val="00902B26"/>
    <w:rsid w:val="00964EC9"/>
    <w:rsid w:val="00A82001"/>
    <w:rsid w:val="00AC2694"/>
    <w:rsid w:val="00AE4BBB"/>
    <w:rsid w:val="00B239C7"/>
    <w:rsid w:val="00B4073B"/>
    <w:rsid w:val="00B6648F"/>
    <w:rsid w:val="00B66D5B"/>
    <w:rsid w:val="00B70154"/>
    <w:rsid w:val="00BD3ABA"/>
    <w:rsid w:val="00BF41BB"/>
    <w:rsid w:val="00C053AF"/>
    <w:rsid w:val="00C40BF4"/>
    <w:rsid w:val="00C679B4"/>
    <w:rsid w:val="00C936F5"/>
    <w:rsid w:val="00D01FD5"/>
    <w:rsid w:val="00DD0B69"/>
    <w:rsid w:val="00DF0F96"/>
    <w:rsid w:val="00E776BB"/>
    <w:rsid w:val="00EE5999"/>
    <w:rsid w:val="00F503FF"/>
    <w:rsid w:val="00F83DC6"/>
    <w:rsid w:val="00FB15AB"/>
    <w:rsid w:val="0ACF41E8"/>
    <w:rsid w:val="0AD52683"/>
    <w:rsid w:val="16922CAB"/>
    <w:rsid w:val="1B0B777B"/>
    <w:rsid w:val="211D53AC"/>
    <w:rsid w:val="23AE4C1A"/>
    <w:rsid w:val="27F37B5D"/>
    <w:rsid w:val="30426764"/>
    <w:rsid w:val="3299158D"/>
    <w:rsid w:val="3EE23F30"/>
    <w:rsid w:val="42410A18"/>
    <w:rsid w:val="43E213B8"/>
    <w:rsid w:val="49240A1D"/>
    <w:rsid w:val="4BEC5D0E"/>
    <w:rsid w:val="4DD20BA5"/>
    <w:rsid w:val="54431D59"/>
    <w:rsid w:val="557353BA"/>
    <w:rsid w:val="57307B25"/>
    <w:rsid w:val="57957893"/>
    <w:rsid w:val="60A25B6F"/>
    <w:rsid w:val="63285C73"/>
    <w:rsid w:val="63586F3A"/>
    <w:rsid w:val="63AD2E36"/>
    <w:rsid w:val="645E3500"/>
    <w:rsid w:val="68753651"/>
    <w:rsid w:val="68BC33C5"/>
    <w:rsid w:val="691864EE"/>
    <w:rsid w:val="6BEF14C8"/>
    <w:rsid w:val="6DD31186"/>
    <w:rsid w:val="6F495B22"/>
    <w:rsid w:val="741F2704"/>
    <w:rsid w:val="74282A00"/>
    <w:rsid w:val="76F33962"/>
    <w:rsid w:val="79B32F58"/>
    <w:rsid w:val="79E755D2"/>
    <w:rsid w:val="7CCD189B"/>
    <w:rsid w:val="7D757C28"/>
    <w:rsid w:val="7E156E8F"/>
    <w:rsid w:val="7F85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footer" w:qFormat="1"/>
    <w:lsdException w:name="Default Paragraph Font" w:uiPriority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F6C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4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242F6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42F6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42F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44C44-BAB1-42CA-95DC-9D1A9389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362</Words>
  <Characters>2069</Characters>
  <Application>Microsoft Office Word</Application>
  <DocSecurity>0</DocSecurity>
  <Lines>17</Lines>
  <Paragraphs>4</Paragraphs>
  <ScaleCrop>false</ScaleCrop>
  <Company>微软中国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证券代码：300407                                    证券简称：凯发电气</dc:title>
  <dc:creator>Administrator</dc:creator>
  <cp:lastModifiedBy>凯发电气</cp:lastModifiedBy>
  <cp:revision>7</cp:revision>
  <dcterms:created xsi:type="dcterms:W3CDTF">2016-11-02T00:35:00Z</dcterms:created>
  <dcterms:modified xsi:type="dcterms:W3CDTF">2016-11-02T01:48:00Z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