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BAA" w:rsidRPr="00D33505" w:rsidRDefault="00E94BAA" w:rsidP="00E94BAA">
      <w:pPr>
        <w:spacing w:beforeLines="50" w:before="156" w:afterLines="50" w:after="156" w:line="400" w:lineRule="exact"/>
        <w:rPr>
          <w:rFonts w:ascii="华文楷体" w:eastAsia="华文楷体" w:hAnsi="华文楷体"/>
          <w:bCs/>
          <w:iCs/>
          <w:color w:val="000000"/>
          <w:sz w:val="24"/>
        </w:rPr>
      </w:pPr>
      <w:r w:rsidRPr="00D33505">
        <w:rPr>
          <w:rFonts w:ascii="华文楷体" w:eastAsia="华文楷体" w:hAnsi="华文楷体" w:hint="eastAsia"/>
          <w:bCs/>
          <w:iCs/>
          <w:color w:val="000000"/>
          <w:sz w:val="24"/>
        </w:rPr>
        <w:t>证券代码：</w:t>
      </w:r>
      <w:r w:rsidRPr="00D33505">
        <w:rPr>
          <w:rFonts w:ascii="华文楷体" w:eastAsia="华文楷体" w:hAnsi="华文楷体"/>
          <w:sz w:val="24"/>
        </w:rPr>
        <w:t>000039、299901</w:t>
      </w:r>
      <w:r w:rsidRPr="00D33505">
        <w:rPr>
          <w:rFonts w:ascii="华文楷体" w:eastAsia="华文楷体" w:hAnsi="华文楷体" w:hint="eastAsia"/>
          <w:bCs/>
          <w:iCs/>
          <w:color w:val="000000"/>
          <w:sz w:val="24"/>
        </w:rPr>
        <w:t xml:space="preserve">                 证券简称：中集集团、中集</w:t>
      </w:r>
      <w:r w:rsidRPr="00D33505">
        <w:rPr>
          <w:rFonts w:ascii="华文楷体" w:eastAsia="华文楷体" w:hAnsi="华文楷体"/>
          <w:bCs/>
          <w:iCs/>
          <w:color w:val="000000"/>
          <w:sz w:val="24"/>
        </w:rPr>
        <w:t>H代</w:t>
      </w:r>
      <w:r w:rsidRPr="00D33505">
        <w:rPr>
          <w:rFonts w:ascii="华文楷体" w:eastAsia="华文楷体" w:hAnsi="华文楷体" w:hint="eastAsia"/>
          <w:bCs/>
          <w:iCs/>
          <w:color w:val="000000"/>
          <w:sz w:val="24"/>
        </w:rPr>
        <w:t xml:space="preserve">　</w:t>
      </w:r>
    </w:p>
    <w:p w:rsidR="00E94BAA" w:rsidRPr="00D33505" w:rsidRDefault="00E94BAA" w:rsidP="00E94BAA">
      <w:pPr>
        <w:spacing w:beforeLines="50" w:before="156" w:afterLines="50" w:after="156" w:line="400" w:lineRule="exact"/>
        <w:jc w:val="center"/>
        <w:rPr>
          <w:rFonts w:ascii="华文楷体" w:eastAsia="华文楷体" w:hAnsi="华文楷体"/>
          <w:b/>
          <w:bCs/>
          <w:iCs/>
          <w:color w:val="000000"/>
          <w:sz w:val="32"/>
          <w:szCs w:val="32"/>
        </w:rPr>
      </w:pPr>
    </w:p>
    <w:p w:rsidR="00E94BAA" w:rsidRPr="00D33505" w:rsidRDefault="00E94BAA" w:rsidP="00E94BAA">
      <w:pPr>
        <w:spacing w:beforeLines="50" w:before="156" w:afterLines="50" w:after="156" w:line="400" w:lineRule="exact"/>
        <w:jc w:val="center"/>
        <w:rPr>
          <w:rFonts w:ascii="华文楷体" w:eastAsia="华文楷体" w:hAnsi="华文楷体"/>
          <w:b/>
          <w:bCs/>
          <w:iCs/>
          <w:color w:val="000000"/>
          <w:sz w:val="32"/>
          <w:szCs w:val="32"/>
        </w:rPr>
      </w:pPr>
      <w:r w:rsidRPr="00D33505">
        <w:rPr>
          <w:rFonts w:ascii="华文楷体" w:eastAsia="华文楷体" w:hAnsi="华文楷体" w:hint="eastAsia"/>
          <w:b/>
          <w:bCs/>
          <w:iCs/>
          <w:color w:val="000000"/>
          <w:sz w:val="32"/>
          <w:szCs w:val="32"/>
        </w:rPr>
        <w:t>中国国际海运集装箱（集团）股份有限公司</w:t>
      </w:r>
    </w:p>
    <w:p w:rsidR="00E94BAA" w:rsidRPr="00D33505" w:rsidRDefault="00E94BAA" w:rsidP="00E94BAA">
      <w:pPr>
        <w:spacing w:beforeLines="50" w:before="156" w:afterLines="50" w:after="156" w:line="400" w:lineRule="exact"/>
        <w:jc w:val="center"/>
        <w:rPr>
          <w:rFonts w:ascii="华文楷体" w:eastAsia="华文楷体" w:hAnsi="华文楷体"/>
          <w:b/>
          <w:bCs/>
          <w:iCs/>
          <w:color w:val="000000"/>
          <w:sz w:val="32"/>
          <w:szCs w:val="32"/>
        </w:rPr>
      </w:pPr>
      <w:r w:rsidRPr="00D33505">
        <w:rPr>
          <w:rFonts w:ascii="华文楷体" w:eastAsia="华文楷体" w:hAnsi="华文楷体" w:hint="eastAsia"/>
          <w:b/>
          <w:bCs/>
          <w:iCs/>
          <w:color w:val="000000"/>
          <w:sz w:val="32"/>
          <w:szCs w:val="32"/>
        </w:rPr>
        <w:t>投资者关系活动记录表</w:t>
      </w:r>
    </w:p>
    <w:p w:rsidR="00E94BAA" w:rsidRPr="00D33505" w:rsidRDefault="00E94BAA" w:rsidP="00E94BAA">
      <w:pPr>
        <w:spacing w:line="400" w:lineRule="exact"/>
        <w:rPr>
          <w:rFonts w:ascii="华文楷体" w:eastAsia="华文楷体" w:hAnsi="华文楷体"/>
          <w:bCs/>
          <w:iCs/>
          <w:color w:val="000000"/>
          <w:sz w:val="24"/>
        </w:rPr>
      </w:pPr>
      <w:r w:rsidRPr="00D33505">
        <w:rPr>
          <w:rFonts w:ascii="华文楷体" w:eastAsia="华文楷体" w:hAnsi="华文楷体" w:hint="eastAsia"/>
          <w:bCs/>
          <w:iCs/>
          <w:color w:val="000000"/>
          <w:sz w:val="24"/>
        </w:rPr>
        <w:t xml:space="preserve">                                                        编号：</w:t>
      </w:r>
      <w:r w:rsidRPr="00D33505">
        <w:rPr>
          <w:rFonts w:ascii="华文楷体" w:eastAsia="华文楷体" w:hAnsi="华文楷体"/>
          <w:bCs/>
          <w:iCs/>
          <w:color w:val="000000"/>
          <w:sz w:val="24"/>
        </w:rPr>
        <w:t>201</w:t>
      </w:r>
      <w:r w:rsidRPr="00D33505">
        <w:rPr>
          <w:rFonts w:ascii="华文楷体" w:eastAsia="华文楷体" w:hAnsi="华文楷体" w:hint="eastAsia"/>
          <w:bCs/>
          <w:iCs/>
          <w:color w:val="000000"/>
          <w:sz w:val="24"/>
        </w:rPr>
        <w:t>60</w:t>
      </w:r>
      <w:r>
        <w:rPr>
          <w:rFonts w:ascii="华文楷体" w:eastAsia="华文楷体" w:hAnsi="华文楷体" w:hint="eastAsia"/>
          <w:bCs/>
          <w:iCs/>
          <w:color w:val="000000"/>
          <w:sz w:val="24"/>
        </w:rPr>
        <w:t>06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6614"/>
      </w:tblGrid>
      <w:tr w:rsidR="00E94BAA" w:rsidRPr="00D33505" w:rsidTr="000F6A43">
        <w:trPr>
          <w:trHeight w:val="2863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BAA" w:rsidRPr="00D33505" w:rsidRDefault="00E94BAA" w:rsidP="000F6A43">
            <w:pPr>
              <w:rPr>
                <w:rFonts w:ascii="华文楷体" w:eastAsia="华文楷体" w:hAnsi="华文楷体"/>
                <w:bCs/>
                <w:iCs/>
                <w:color w:val="000000"/>
                <w:sz w:val="24"/>
              </w:rPr>
            </w:pPr>
            <w:r w:rsidRPr="00D33505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投资者关系活动类别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BAA" w:rsidRPr="00D33505" w:rsidRDefault="00E94BAA" w:rsidP="000F6A43">
            <w:pPr>
              <w:spacing w:line="480" w:lineRule="atLeast"/>
              <w:rPr>
                <w:rFonts w:ascii="华文楷体" w:eastAsia="华文楷体" w:hAnsi="华文楷体"/>
                <w:bCs/>
                <w:iCs/>
                <w:color w:val="000000"/>
                <w:sz w:val="24"/>
              </w:rPr>
            </w:pPr>
            <w:bookmarkStart w:id="0" w:name="OLE_LINK1"/>
            <w:bookmarkStart w:id="1" w:name="OLE_LINK2"/>
            <w:r w:rsidRPr="00D33505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■</w:t>
            </w:r>
            <w:bookmarkEnd w:id="0"/>
            <w:bookmarkEnd w:id="1"/>
            <w:r w:rsidRPr="00D33505">
              <w:rPr>
                <w:rFonts w:ascii="华文楷体" w:eastAsia="华文楷体" w:hAnsi="华文楷体" w:hint="eastAsia"/>
                <w:sz w:val="24"/>
              </w:rPr>
              <w:t xml:space="preserve">特定对象调研        </w:t>
            </w:r>
            <w:r w:rsidRPr="00D33505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□</w:t>
            </w:r>
            <w:r w:rsidRPr="00D33505">
              <w:rPr>
                <w:rFonts w:ascii="华文楷体" w:eastAsia="华文楷体" w:hAnsi="华文楷体" w:hint="eastAsia"/>
                <w:sz w:val="24"/>
              </w:rPr>
              <w:t>分析师会议</w:t>
            </w:r>
          </w:p>
          <w:p w:rsidR="00E94BAA" w:rsidRPr="00D33505" w:rsidRDefault="00E94BAA" w:rsidP="000F6A43">
            <w:pPr>
              <w:spacing w:line="480" w:lineRule="atLeast"/>
              <w:rPr>
                <w:rFonts w:ascii="华文楷体" w:eastAsia="华文楷体" w:hAnsi="华文楷体"/>
                <w:bCs/>
                <w:iCs/>
                <w:color w:val="000000"/>
                <w:sz w:val="24"/>
              </w:rPr>
            </w:pPr>
            <w:r w:rsidRPr="00D33505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□</w:t>
            </w:r>
            <w:r w:rsidRPr="00D33505">
              <w:rPr>
                <w:rFonts w:ascii="华文楷体" w:eastAsia="华文楷体" w:hAnsi="华文楷体" w:hint="eastAsia"/>
                <w:sz w:val="24"/>
              </w:rPr>
              <w:t xml:space="preserve">媒体采访            </w:t>
            </w:r>
            <w:r w:rsidRPr="00D33505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□</w:t>
            </w:r>
            <w:r w:rsidRPr="00D33505">
              <w:rPr>
                <w:rFonts w:ascii="华文楷体" w:eastAsia="华文楷体" w:hAnsi="华文楷体" w:hint="eastAsia"/>
                <w:sz w:val="24"/>
              </w:rPr>
              <w:t>业绩说明会</w:t>
            </w:r>
          </w:p>
          <w:p w:rsidR="00E94BAA" w:rsidRPr="00D33505" w:rsidRDefault="00E94BAA" w:rsidP="000F6A43">
            <w:pPr>
              <w:spacing w:line="480" w:lineRule="atLeast"/>
              <w:rPr>
                <w:rFonts w:ascii="华文楷体" w:eastAsia="华文楷体" w:hAnsi="华文楷体"/>
                <w:bCs/>
                <w:iCs/>
                <w:color w:val="000000"/>
                <w:sz w:val="24"/>
              </w:rPr>
            </w:pPr>
            <w:r w:rsidRPr="00D33505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□</w:t>
            </w:r>
            <w:r w:rsidRPr="00D33505">
              <w:rPr>
                <w:rFonts w:ascii="华文楷体" w:eastAsia="华文楷体" w:hAnsi="华文楷体" w:hint="eastAsia"/>
                <w:sz w:val="24"/>
              </w:rPr>
              <w:t xml:space="preserve">新闻发布会          </w:t>
            </w:r>
            <w:r w:rsidRPr="00D33505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□</w:t>
            </w:r>
            <w:r w:rsidRPr="00D33505">
              <w:rPr>
                <w:rFonts w:ascii="华文楷体" w:eastAsia="华文楷体" w:hAnsi="华文楷体" w:hint="eastAsia"/>
                <w:sz w:val="24"/>
              </w:rPr>
              <w:t>路演活动</w:t>
            </w:r>
          </w:p>
          <w:p w:rsidR="00E94BAA" w:rsidRPr="00D33505" w:rsidRDefault="00E94BAA" w:rsidP="000F6A43"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="华文楷体" w:eastAsia="华文楷体" w:hAnsi="华文楷体"/>
                <w:bCs/>
                <w:iCs/>
                <w:color w:val="000000"/>
                <w:sz w:val="24"/>
              </w:rPr>
            </w:pPr>
            <w:r w:rsidRPr="00D33505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□</w:t>
            </w:r>
            <w:r w:rsidRPr="00D33505">
              <w:rPr>
                <w:rFonts w:ascii="华文楷体" w:eastAsia="华文楷体" w:hAnsi="华文楷体" w:hint="eastAsia"/>
                <w:sz w:val="24"/>
              </w:rPr>
              <w:t>现场参观</w:t>
            </w:r>
            <w:r w:rsidRPr="00D33505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ab/>
            </w:r>
          </w:p>
          <w:p w:rsidR="00E94BAA" w:rsidRPr="00D33505" w:rsidRDefault="00E94BAA" w:rsidP="000F6A43">
            <w:pPr>
              <w:tabs>
                <w:tab w:val="center" w:pos="3199"/>
              </w:tabs>
              <w:spacing w:line="480" w:lineRule="atLeast"/>
              <w:rPr>
                <w:rFonts w:ascii="华文楷体" w:eastAsia="华文楷体" w:hAnsi="华文楷体"/>
                <w:bCs/>
                <w:iCs/>
                <w:color w:val="000000"/>
                <w:sz w:val="24"/>
              </w:rPr>
            </w:pPr>
            <w:r w:rsidRPr="00D33505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□</w:t>
            </w:r>
            <w:r w:rsidRPr="00D33505">
              <w:rPr>
                <w:rFonts w:ascii="华文楷体" w:eastAsia="华文楷体" w:hAnsi="华文楷体" w:hint="eastAsia"/>
                <w:sz w:val="24"/>
              </w:rPr>
              <w:t>其他 （</w:t>
            </w:r>
            <w:proofErr w:type="gramStart"/>
            <w:r w:rsidRPr="00D33505">
              <w:rPr>
                <w:rFonts w:ascii="华文楷体" w:eastAsia="华文楷体" w:hAnsi="华文楷体" w:hint="eastAsia"/>
                <w:sz w:val="24"/>
                <w:u w:val="single"/>
              </w:rPr>
              <w:t>请文字</w:t>
            </w:r>
            <w:proofErr w:type="gramEnd"/>
            <w:r w:rsidRPr="00D33505">
              <w:rPr>
                <w:rFonts w:ascii="华文楷体" w:eastAsia="华文楷体" w:hAnsi="华文楷体" w:hint="eastAsia"/>
                <w:sz w:val="24"/>
                <w:u w:val="single"/>
              </w:rPr>
              <w:t>说明其他活动内容）</w:t>
            </w:r>
          </w:p>
        </w:tc>
      </w:tr>
      <w:tr w:rsidR="00E94BAA" w:rsidRPr="00D33505" w:rsidTr="000F6A43">
        <w:trPr>
          <w:trHeight w:val="866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BAA" w:rsidRPr="00D33505" w:rsidRDefault="00E94BAA" w:rsidP="000F6A43">
            <w:pPr>
              <w:rPr>
                <w:rFonts w:ascii="华文楷体" w:eastAsia="华文楷体" w:hAnsi="华文楷体"/>
                <w:bCs/>
                <w:iCs/>
                <w:color w:val="000000"/>
                <w:sz w:val="24"/>
              </w:rPr>
            </w:pPr>
            <w:r w:rsidRPr="00D33505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参与单位名称及人员姓名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BAA" w:rsidRDefault="00E94BAA" w:rsidP="000F6A43">
            <w:pPr>
              <w:rPr>
                <w:rFonts w:ascii="华文楷体" w:eastAsia="华文楷体" w:hAnsi="华文楷体"/>
                <w:bCs/>
                <w:iCs/>
                <w:color w:val="000000"/>
                <w:sz w:val="24"/>
              </w:rPr>
            </w:pPr>
            <w:proofErr w:type="gramStart"/>
            <w:r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华银精治</w:t>
            </w:r>
            <w:proofErr w:type="gramEnd"/>
            <w:r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 xml:space="preserve"> 谭龙              </w:t>
            </w:r>
            <w:proofErr w:type="gramStart"/>
            <w:r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玖歌资本</w:t>
            </w:r>
            <w:proofErr w:type="gramEnd"/>
            <w:r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 xml:space="preserve"> 单璇</w:t>
            </w:r>
          </w:p>
          <w:p w:rsidR="00E94BAA" w:rsidRDefault="00E94BAA" w:rsidP="000F6A43">
            <w:pPr>
              <w:rPr>
                <w:rFonts w:ascii="华文楷体" w:eastAsia="华文楷体" w:hAnsi="华文楷体"/>
                <w:bCs/>
                <w:iCs/>
                <w:color w:val="000000"/>
                <w:sz w:val="24"/>
              </w:rPr>
            </w:pPr>
            <w:r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明</w:t>
            </w:r>
            <w:proofErr w:type="gramStart"/>
            <w:r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己投资 付羽</w:t>
            </w:r>
            <w:proofErr w:type="gramEnd"/>
            <w:r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 xml:space="preserve">              融通基金 任涛</w:t>
            </w:r>
          </w:p>
          <w:p w:rsidR="00E94BAA" w:rsidRDefault="00E94BAA" w:rsidP="000F6A43">
            <w:pPr>
              <w:rPr>
                <w:rFonts w:ascii="华文楷体" w:eastAsia="华文楷体" w:hAnsi="华文楷体"/>
                <w:bCs/>
                <w:iCs/>
                <w:color w:val="000000"/>
                <w:sz w:val="24"/>
              </w:rPr>
            </w:pPr>
            <w:r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海</w:t>
            </w:r>
            <w:proofErr w:type="gramStart"/>
            <w:r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富凌资本 陈凌</w:t>
            </w:r>
            <w:proofErr w:type="gramEnd"/>
            <w:r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 xml:space="preserve">            银河证券 </w:t>
            </w:r>
            <w:proofErr w:type="gramStart"/>
            <w:r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贺泽安</w:t>
            </w:r>
            <w:proofErr w:type="gramEnd"/>
            <w:r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 xml:space="preserve"> 詹璐</w:t>
            </w:r>
          </w:p>
          <w:p w:rsidR="00E94BAA" w:rsidRDefault="00E94BAA" w:rsidP="000F6A43">
            <w:pPr>
              <w:rPr>
                <w:rFonts w:ascii="华文楷体" w:eastAsia="华文楷体" w:hAnsi="华文楷体"/>
                <w:bCs/>
                <w:iCs/>
                <w:color w:val="000000"/>
                <w:sz w:val="24"/>
              </w:rPr>
            </w:pPr>
            <w:r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拉芳投资 谷方庆            中欧基金 汤洁</w:t>
            </w:r>
          </w:p>
          <w:p w:rsidR="00E94BAA" w:rsidRDefault="00E94BAA" w:rsidP="000F6A43">
            <w:pPr>
              <w:rPr>
                <w:rFonts w:ascii="华文楷体" w:eastAsia="华文楷体" w:hAnsi="华文楷体"/>
                <w:bCs/>
                <w:iCs/>
                <w:color w:val="000000"/>
                <w:sz w:val="24"/>
              </w:rPr>
            </w:pPr>
            <w:r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宝</w:t>
            </w:r>
            <w:proofErr w:type="gramStart"/>
            <w:r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盈基金</w:t>
            </w:r>
            <w:proofErr w:type="gramEnd"/>
            <w:r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 xml:space="preserve"> 李进              华</w:t>
            </w:r>
            <w:proofErr w:type="gramStart"/>
            <w:r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益资本</w:t>
            </w:r>
            <w:proofErr w:type="gramEnd"/>
            <w:r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 xml:space="preserve"> 张应涛</w:t>
            </w:r>
          </w:p>
          <w:p w:rsidR="00E94BAA" w:rsidRDefault="00E94BAA" w:rsidP="000F6A43">
            <w:pPr>
              <w:rPr>
                <w:rFonts w:ascii="华文楷体" w:eastAsia="华文楷体" w:hAnsi="华文楷体"/>
                <w:bCs/>
                <w:iCs/>
                <w:color w:val="000000"/>
                <w:sz w:val="24"/>
              </w:rPr>
            </w:pPr>
            <w:r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鹏华基金 陈璇淼            景顺长城 丁丹</w:t>
            </w:r>
          </w:p>
          <w:p w:rsidR="00E94BAA" w:rsidRDefault="00E94BAA" w:rsidP="000F6A43">
            <w:pPr>
              <w:rPr>
                <w:rFonts w:ascii="华文楷体" w:eastAsia="华文楷体" w:hAnsi="华文楷体"/>
                <w:bCs/>
                <w:iCs/>
                <w:color w:val="000000"/>
                <w:sz w:val="24"/>
              </w:rPr>
            </w:pPr>
            <w:r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 xml:space="preserve">东北证券 高鹏              持久投资 </w:t>
            </w:r>
            <w:proofErr w:type="gramStart"/>
            <w:r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茹</w:t>
            </w:r>
            <w:proofErr w:type="gramEnd"/>
            <w:r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正昭</w:t>
            </w:r>
          </w:p>
          <w:p w:rsidR="00E94BAA" w:rsidRPr="00A8714F" w:rsidRDefault="00E94BAA" w:rsidP="000F6A43">
            <w:pPr>
              <w:rPr>
                <w:rFonts w:ascii="华文楷体" w:eastAsia="华文楷体" w:hAnsi="华文楷体"/>
                <w:bCs/>
                <w:iCs/>
                <w:color w:val="000000"/>
                <w:sz w:val="24"/>
              </w:rPr>
            </w:pPr>
            <w:r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中科沃土基金 熊绍龙</w:t>
            </w:r>
          </w:p>
        </w:tc>
      </w:tr>
      <w:tr w:rsidR="00E94BAA" w:rsidRPr="00D33505" w:rsidTr="000F6A43">
        <w:trPr>
          <w:trHeight w:val="554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BAA" w:rsidRPr="00D33505" w:rsidRDefault="00E94BAA" w:rsidP="000F6A43">
            <w:pPr>
              <w:rPr>
                <w:rFonts w:ascii="华文楷体" w:eastAsia="华文楷体" w:hAnsi="华文楷体"/>
                <w:bCs/>
                <w:iCs/>
                <w:color w:val="000000"/>
                <w:sz w:val="24"/>
              </w:rPr>
            </w:pPr>
            <w:r w:rsidRPr="00D33505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时间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BAA" w:rsidRPr="00D33505" w:rsidRDefault="00E94BAA" w:rsidP="000F6A43">
            <w:pPr>
              <w:rPr>
                <w:rFonts w:ascii="华文楷体" w:eastAsia="华文楷体" w:hAnsi="华文楷体"/>
                <w:bCs/>
                <w:iCs/>
                <w:color w:val="000000"/>
                <w:sz w:val="24"/>
              </w:rPr>
            </w:pPr>
            <w:r w:rsidRPr="00D33505">
              <w:rPr>
                <w:rFonts w:ascii="华文楷体" w:eastAsia="华文楷体" w:hAnsi="华文楷体"/>
                <w:bCs/>
                <w:iCs/>
                <w:color w:val="000000"/>
                <w:sz w:val="24"/>
              </w:rPr>
              <w:t>201</w:t>
            </w:r>
            <w:r w:rsidRPr="00D33505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6</w:t>
            </w:r>
            <w:r w:rsidRPr="00D33505">
              <w:rPr>
                <w:rFonts w:ascii="华文楷体" w:eastAsia="华文楷体" w:hAnsi="华文楷体"/>
                <w:bCs/>
                <w:iCs/>
                <w:color w:val="000000"/>
                <w:sz w:val="24"/>
              </w:rPr>
              <w:t>年</w:t>
            </w:r>
            <w:r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11</w:t>
            </w:r>
            <w:r w:rsidRPr="00D33505">
              <w:rPr>
                <w:rFonts w:ascii="华文楷体" w:eastAsia="华文楷体" w:hAnsi="华文楷体"/>
                <w:bCs/>
                <w:iCs/>
                <w:color w:val="000000"/>
                <w:sz w:val="24"/>
              </w:rPr>
              <w:t>月</w:t>
            </w:r>
            <w:r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15</w:t>
            </w:r>
            <w:r w:rsidRPr="00D33505">
              <w:rPr>
                <w:rFonts w:ascii="华文楷体" w:eastAsia="华文楷体" w:hAnsi="华文楷体"/>
                <w:bCs/>
                <w:iCs/>
                <w:color w:val="000000"/>
                <w:sz w:val="24"/>
              </w:rPr>
              <w:t>日</w:t>
            </w:r>
            <w:r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14:00</w:t>
            </w:r>
            <w:r w:rsidRPr="00D33505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-</w:t>
            </w:r>
            <w:r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16</w:t>
            </w:r>
            <w:r w:rsidRPr="00D33505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:</w:t>
            </w:r>
            <w:r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30</w:t>
            </w:r>
          </w:p>
        </w:tc>
      </w:tr>
      <w:tr w:rsidR="00E94BAA" w:rsidRPr="00D33505" w:rsidTr="000F6A43">
        <w:trPr>
          <w:trHeight w:val="461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BAA" w:rsidRPr="00D33505" w:rsidRDefault="00E94BAA" w:rsidP="000F6A43">
            <w:pPr>
              <w:rPr>
                <w:rFonts w:ascii="华文楷体" w:eastAsia="华文楷体" w:hAnsi="华文楷体"/>
                <w:bCs/>
                <w:iCs/>
                <w:color w:val="000000"/>
                <w:sz w:val="24"/>
              </w:rPr>
            </w:pPr>
            <w:r w:rsidRPr="00D33505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地点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BAA" w:rsidRPr="00D33505" w:rsidRDefault="00E94BAA" w:rsidP="000F6A43">
            <w:pPr>
              <w:rPr>
                <w:rFonts w:ascii="华文楷体" w:eastAsia="华文楷体" w:hAnsi="华文楷体"/>
                <w:bCs/>
                <w:iCs/>
                <w:color w:val="000000"/>
                <w:sz w:val="24"/>
              </w:rPr>
            </w:pPr>
            <w:r w:rsidRPr="00D33505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中集研发中心</w:t>
            </w:r>
            <w:r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104</w:t>
            </w:r>
            <w:r w:rsidRPr="00D33505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会议室</w:t>
            </w:r>
          </w:p>
        </w:tc>
      </w:tr>
      <w:tr w:rsidR="00E94BAA" w:rsidRPr="00D33505" w:rsidTr="000F6A43">
        <w:trPr>
          <w:trHeight w:val="375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BAA" w:rsidRPr="00D33505" w:rsidRDefault="00E94BAA" w:rsidP="000F6A43">
            <w:pPr>
              <w:rPr>
                <w:rFonts w:ascii="华文楷体" w:eastAsia="华文楷体" w:hAnsi="华文楷体"/>
                <w:bCs/>
                <w:iCs/>
                <w:color w:val="000000"/>
                <w:sz w:val="24"/>
              </w:rPr>
            </w:pPr>
            <w:r w:rsidRPr="00D33505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上市公司接待人员姓名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BAA" w:rsidRPr="00D33505" w:rsidRDefault="00E94BAA" w:rsidP="000F6A43">
            <w:pPr>
              <w:spacing w:line="360" w:lineRule="auto"/>
              <w:rPr>
                <w:rFonts w:ascii="华文楷体" w:eastAsia="华文楷体" w:hAnsi="华文楷体"/>
                <w:bCs/>
                <w:iCs/>
                <w:color w:val="000000"/>
                <w:sz w:val="24"/>
              </w:rPr>
            </w:pPr>
            <w:r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王心九（中集集团证券事务代表）</w:t>
            </w:r>
          </w:p>
        </w:tc>
      </w:tr>
      <w:tr w:rsidR="00E94BAA" w:rsidRPr="00D33505" w:rsidTr="000F6A43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BAA" w:rsidRPr="00D33505" w:rsidRDefault="00E94BAA" w:rsidP="000F6A43">
            <w:pPr>
              <w:jc w:val="center"/>
              <w:rPr>
                <w:rFonts w:ascii="华文楷体" w:eastAsia="华文楷体" w:hAnsi="华文楷体"/>
                <w:bCs/>
                <w:iCs/>
                <w:color w:val="000000"/>
                <w:sz w:val="24"/>
              </w:rPr>
            </w:pPr>
            <w:r w:rsidRPr="00D33505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lastRenderedPageBreak/>
              <w:t>投资者关系活动主要内容介绍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BAA" w:rsidRPr="00D33505" w:rsidRDefault="00E94BAA" w:rsidP="000F6A43">
            <w:pPr>
              <w:spacing w:line="360" w:lineRule="auto"/>
              <w:ind w:firstLineChars="200" w:firstLine="480"/>
              <w:rPr>
                <w:rFonts w:ascii="华文楷体" w:eastAsia="华文楷体" w:hAnsi="华文楷体"/>
                <w:bCs/>
                <w:iCs/>
                <w:color w:val="000000"/>
                <w:sz w:val="24"/>
              </w:rPr>
            </w:pPr>
            <w:r w:rsidRPr="00D33505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访谈主要内容包括：</w:t>
            </w:r>
          </w:p>
          <w:p w:rsidR="00E94BAA" w:rsidRDefault="00E94BAA" w:rsidP="000F6A43">
            <w:pPr>
              <w:spacing w:line="360" w:lineRule="auto"/>
              <w:ind w:left="480"/>
              <w:rPr>
                <w:rFonts w:ascii="华文楷体" w:eastAsia="华文楷体" w:hAnsi="华文楷体"/>
                <w:bCs/>
                <w:iCs/>
                <w:color w:val="000000"/>
                <w:sz w:val="24"/>
              </w:rPr>
            </w:pPr>
            <w:r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1、集装箱近况</w:t>
            </w:r>
          </w:p>
          <w:p w:rsidR="00E94BAA" w:rsidRPr="00321A8C" w:rsidRDefault="00E94BAA" w:rsidP="000F6A43">
            <w:pPr>
              <w:spacing w:line="360" w:lineRule="auto"/>
              <w:ind w:left="-65" w:firstLineChars="236" w:firstLine="566"/>
              <w:rPr>
                <w:rFonts w:ascii="华文楷体" w:eastAsia="华文楷体" w:hAnsi="华文楷体"/>
                <w:bCs/>
                <w:iCs/>
                <w:color w:val="000000"/>
                <w:sz w:val="24"/>
              </w:rPr>
            </w:pPr>
            <w:r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集装箱行业近日有触底反弹的趋势，干货箱价格已经从今年</w:t>
            </w:r>
            <w:r w:rsidRPr="00321A8C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年初</w:t>
            </w:r>
            <w:r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的</w:t>
            </w:r>
            <w:r w:rsidRPr="00321A8C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1200</w:t>
            </w:r>
            <w:r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美元/TEU涨到</w:t>
            </w:r>
            <w:r w:rsidRPr="00321A8C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1600</w:t>
            </w:r>
            <w:r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美元/TEU</w:t>
            </w:r>
            <w:r w:rsidRPr="00321A8C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，</w:t>
            </w:r>
            <w:r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而有效产能不足；根据最近新接订单来看，明年</w:t>
            </w:r>
            <w:r w:rsidRPr="00321A8C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一季度</w:t>
            </w:r>
            <w:r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的价格大概在</w:t>
            </w:r>
            <w:r w:rsidRPr="00321A8C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1800美元</w:t>
            </w:r>
            <w:r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/TEU左右。年初预计集装箱行业全年销量大概为100万TEU，目前来看，可能会在150-160万TEU的水平。</w:t>
            </w:r>
            <w:r w:rsidR="00B20A87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预计</w:t>
            </w:r>
            <w:r w:rsidR="00D2329F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明年无论是销量或者价格都会比今年高</w:t>
            </w:r>
            <w:r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。</w:t>
            </w:r>
          </w:p>
          <w:p w:rsidR="00E94BAA" w:rsidRPr="00321A8C" w:rsidRDefault="00E94BAA" w:rsidP="000F6A43">
            <w:pPr>
              <w:spacing w:line="360" w:lineRule="auto"/>
              <w:ind w:left="-65" w:firstLineChars="236" w:firstLine="566"/>
              <w:rPr>
                <w:rFonts w:ascii="华文楷体" w:eastAsia="华文楷体" w:hAnsi="华文楷体"/>
                <w:bCs/>
                <w:iCs/>
                <w:color w:val="000000"/>
                <w:sz w:val="24"/>
              </w:rPr>
            </w:pPr>
            <w:r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箱价上涨主要原因包括：</w:t>
            </w:r>
            <w:r w:rsidR="00B20A87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这次淡季持续十多个月，市场需求向下调整充分；</w:t>
            </w:r>
            <w:r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根据行业</w:t>
            </w:r>
            <w:r w:rsidR="00B20A87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标准提升</w:t>
            </w:r>
            <w:r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要求，从</w:t>
            </w:r>
            <w:r w:rsidRPr="00321A8C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明年4月</w:t>
            </w:r>
            <w:r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份</w:t>
            </w:r>
            <w:r w:rsidRPr="00321A8C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开始</w:t>
            </w:r>
            <w:r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强制</w:t>
            </w:r>
            <w:r w:rsidRPr="00321A8C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推行</w:t>
            </w:r>
            <w:r w:rsidR="00B20A87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更加环保的</w:t>
            </w:r>
            <w:r w:rsidRPr="00321A8C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水性涂料（将增加200美元左右的成本），</w:t>
            </w:r>
            <w:r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部分客户为减少成本</w:t>
            </w:r>
            <w:r w:rsidRPr="00321A8C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提前下单</w:t>
            </w:r>
            <w:r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；</w:t>
            </w:r>
            <w:r w:rsidRPr="00321A8C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集运市场回暖，租金</w:t>
            </w:r>
            <w:r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上涨</w:t>
            </w:r>
            <w:r w:rsidRPr="00321A8C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，</w:t>
            </w:r>
            <w:r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出现</w:t>
            </w:r>
            <w:proofErr w:type="gramStart"/>
            <w:r w:rsidRPr="00321A8C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全国缺箱</w:t>
            </w:r>
            <w:r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的</w:t>
            </w:r>
            <w:proofErr w:type="gramEnd"/>
            <w:r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现象；除此之外，客户手头</w:t>
            </w:r>
            <w:proofErr w:type="gramStart"/>
            <w:r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存箱比较少</w:t>
            </w:r>
            <w:proofErr w:type="gramEnd"/>
            <w:r w:rsidR="00B20A87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，处于历史低位</w:t>
            </w:r>
            <w:r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（</w:t>
            </w:r>
            <w:r w:rsidR="00B20A87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国内</w:t>
            </w:r>
            <w:r w:rsidRPr="00321A8C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堆场大概40万箱水平</w:t>
            </w:r>
            <w:r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），</w:t>
            </w:r>
            <w:r w:rsidR="00B20A87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同时近期</w:t>
            </w:r>
            <w:r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钢价上涨</w:t>
            </w:r>
            <w:r w:rsidR="00B20A87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超过10%</w:t>
            </w:r>
            <w:r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，</w:t>
            </w:r>
            <w:r w:rsidR="00B20A87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韩进海运破产，其拥有</w:t>
            </w:r>
            <w:r w:rsidR="002E7237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的</w:t>
            </w:r>
            <w:r w:rsidR="00B20A87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集装箱暂时冻结，</w:t>
            </w:r>
            <w:r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导致市场需求有明显回升趋势。</w:t>
            </w:r>
          </w:p>
          <w:p w:rsidR="007C2F1F" w:rsidRDefault="007C2F1F" w:rsidP="007C2F1F">
            <w:pPr>
              <w:spacing w:line="360" w:lineRule="auto"/>
              <w:ind w:left="-65" w:firstLineChars="236" w:firstLine="566"/>
              <w:rPr>
                <w:rFonts w:ascii="华文楷体" w:eastAsia="华文楷体" w:hAnsi="华文楷体"/>
                <w:bCs/>
                <w:iCs/>
                <w:color w:val="000000"/>
                <w:sz w:val="24"/>
              </w:rPr>
            </w:pPr>
            <w:r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总体来说，</w:t>
            </w:r>
            <w:r w:rsidRPr="00FC44BF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集装箱</w:t>
            </w:r>
            <w:r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需求</w:t>
            </w:r>
            <w:r w:rsidRPr="00FC44BF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跟进出口贸易等</w:t>
            </w:r>
            <w:r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经济环境线性</w:t>
            </w:r>
            <w:r w:rsidRPr="00FC44BF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相关，</w:t>
            </w:r>
            <w:r w:rsidRPr="0085095C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长期来看，市场</w:t>
            </w:r>
            <w:r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需求</w:t>
            </w:r>
            <w:r w:rsidRPr="0085095C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在200万箱</w:t>
            </w:r>
            <w:r w:rsidR="002E7237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/年</w:t>
            </w:r>
            <w:r w:rsidR="00B20A87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左右</w:t>
            </w:r>
            <w:r w:rsidRPr="0085095C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波动</w:t>
            </w:r>
            <w:r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。</w:t>
            </w:r>
            <w:r w:rsidRPr="0085095C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目前全球市场集装箱存量3000</w:t>
            </w:r>
            <w:r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万TEU</w:t>
            </w:r>
            <w:r w:rsidR="002E7237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，按照</w:t>
            </w:r>
            <w:proofErr w:type="gramStart"/>
            <w:r w:rsidR="002E7237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正常每年</w:t>
            </w:r>
            <w:proofErr w:type="gramEnd"/>
            <w:r w:rsidRPr="0085095C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3-5%的更新率，</w:t>
            </w:r>
            <w:r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理论上</w:t>
            </w:r>
            <w:r w:rsidRPr="0085095C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至少有100</w:t>
            </w:r>
            <w:r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多万TEU</w:t>
            </w:r>
            <w:r w:rsidRPr="0085095C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的更新需</w:t>
            </w:r>
            <w:r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求，但更新需求也会受客户</w:t>
            </w:r>
            <w:r w:rsidR="00B20A87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预期</w:t>
            </w:r>
            <w:r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以及航运情况影响，有可能推迟或提前购箱。</w:t>
            </w:r>
          </w:p>
          <w:p w:rsidR="001A5BFC" w:rsidRDefault="007C2F1F" w:rsidP="007C2F1F">
            <w:pPr>
              <w:spacing w:line="360" w:lineRule="auto"/>
              <w:ind w:left="-65" w:firstLineChars="236" w:firstLine="566"/>
              <w:rPr>
                <w:rFonts w:ascii="华文楷体" w:eastAsia="华文楷体" w:hAnsi="华文楷体"/>
                <w:bCs/>
                <w:iCs/>
                <w:color w:val="000000"/>
                <w:sz w:val="24"/>
              </w:rPr>
            </w:pPr>
            <w:r w:rsidRPr="00E03AAF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干</w:t>
            </w:r>
            <w:r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货</w:t>
            </w:r>
            <w:r w:rsidRPr="00E03AAF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箱的</w:t>
            </w:r>
            <w:proofErr w:type="gramStart"/>
            <w:r w:rsidRPr="00E03AAF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价格</w:t>
            </w:r>
            <w:r w:rsidR="00B20A87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受淡旺季</w:t>
            </w:r>
            <w:proofErr w:type="gramEnd"/>
            <w:r w:rsidR="00B20A87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影响</w:t>
            </w:r>
            <w:r w:rsidRPr="00E03AAF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波动比较大，</w:t>
            </w:r>
            <w:r w:rsidR="003B7C6B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毛利率波动也会</w:t>
            </w:r>
            <w:r w:rsidR="003B7C6B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lastRenderedPageBreak/>
              <w:t>比较明显，</w:t>
            </w:r>
            <w:r w:rsidR="003B7C6B" w:rsidRPr="003B7C6B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正常</w:t>
            </w:r>
            <w:r w:rsidR="003B7C6B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情况下</w:t>
            </w:r>
            <w:r w:rsidR="00B20A87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集装箱</w:t>
            </w:r>
            <w:r w:rsidR="003B7C6B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的</w:t>
            </w:r>
            <w:r w:rsidR="003B7C6B" w:rsidRPr="003B7C6B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毛利率</w:t>
            </w:r>
            <w:r w:rsidR="003B7C6B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大概在</w:t>
            </w:r>
            <w:r w:rsidR="003B7C6B" w:rsidRPr="003B7C6B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12-15%</w:t>
            </w:r>
            <w:r w:rsidR="003B7C6B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的水平，</w:t>
            </w:r>
            <w:r w:rsidR="003B7C6B" w:rsidRPr="003B7C6B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今年</w:t>
            </w:r>
            <w:r w:rsidR="00B20A87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1-9月</w:t>
            </w:r>
            <w:r w:rsidR="003B7C6B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在</w:t>
            </w:r>
            <w:r w:rsidR="003B7C6B" w:rsidRPr="003B7C6B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8-9%</w:t>
            </w:r>
            <w:r w:rsidR="003B7C6B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，而</w:t>
            </w:r>
            <w:r w:rsidRPr="00E03AAF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2011年最高</w:t>
            </w:r>
            <w:r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点的时候</w:t>
            </w:r>
            <w:r w:rsidR="003B7C6B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干货箱价格为</w:t>
            </w:r>
            <w:r w:rsidRPr="00E03AAF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3000美元</w:t>
            </w:r>
            <w:r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/TEU</w:t>
            </w:r>
            <w:r w:rsidRPr="00E03AAF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，</w:t>
            </w:r>
            <w:r w:rsidR="003B7C6B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毛利率达到20%的水平。</w:t>
            </w:r>
            <w:r w:rsidR="00CD76D7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冷藏箱和特种箱的销量和价格相对干货箱来说比较稳定，其中冷藏箱的单价大概在</w:t>
            </w:r>
            <w:r w:rsidR="00B20A87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8000</w:t>
            </w:r>
            <w:r w:rsidR="00CD76D7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-9000美元/TEU，毛利率在</w:t>
            </w:r>
            <w:r w:rsidR="00B20A87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15</w:t>
            </w:r>
            <w:r w:rsidR="00CD76D7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-19%。</w:t>
            </w:r>
            <w:r w:rsidR="00B20A87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过去</w:t>
            </w:r>
            <w:r w:rsidR="005D1EC1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集装箱业务每年为公司带来的盈利贡献</w:t>
            </w:r>
            <w:r w:rsidR="00B20A87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不低于</w:t>
            </w:r>
            <w:r w:rsidR="005D1EC1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8-10亿，今年预计保本或略有盈亏。</w:t>
            </w:r>
          </w:p>
          <w:p w:rsidR="007C2F1F" w:rsidRDefault="001A5BFC" w:rsidP="007C2F1F">
            <w:pPr>
              <w:spacing w:line="360" w:lineRule="auto"/>
              <w:ind w:left="-65" w:firstLineChars="236" w:firstLine="566"/>
              <w:rPr>
                <w:rFonts w:ascii="华文楷体" w:eastAsia="华文楷体" w:hAnsi="华文楷体"/>
                <w:bCs/>
                <w:iCs/>
                <w:color w:val="000000"/>
                <w:sz w:val="24"/>
              </w:rPr>
            </w:pPr>
            <w:r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正常来说，集装箱</w:t>
            </w:r>
            <w:proofErr w:type="gramStart"/>
            <w:r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销售分淡旺季</w:t>
            </w:r>
            <w:proofErr w:type="gramEnd"/>
            <w:r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，传统的旺季为二、三季度，淡季为一季度和四季度，但因为2015年前三季度需求旺盛，从四季度开始低迷，一直持续到2016年三季度。</w:t>
            </w:r>
            <w:r w:rsidR="00EB4B28" w:rsidRPr="00EB4B28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一般情况下，每个月要有6-7万TEU的销量才能达到盈亏平衡</w:t>
            </w:r>
            <w:r w:rsidR="00A34BE7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；</w:t>
            </w:r>
            <w:r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目前的有效产能大概</w:t>
            </w:r>
            <w:r w:rsidR="00A34BE7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为</w:t>
            </w:r>
            <w:r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每个月10万TEU，预计明年一季度能提升到15万TEU。</w:t>
            </w:r>
          </w:p>
          <w:p w:rsidR="007C2F1F" w:rsidRDefault="007C2F1F" w:rsidP="007C2F1F">
            <w:pPr>
              <w:spacing w:line="360" w:lineRule="auto"/>
              <w:ind w:left="-65" w:firstLineChars="236" w:firstLine="566"/>
              <w:rPr>
                <w:rFonts w:ascii="华文楷体" w:eastAsia="华文楷体" w:hAnsi="华文楷体"/>
                <w:bCs/>
                <w:iCs/>
                <w:color w:val="000000"/>
                <w:sz w:val="24"/>
              </w:rPr>
            </w:pPr>
            <w:r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集装箱行业主要厂商的</w:t>
            </w:r>
            <w:r w:rsidRPr="000A0B1F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市场份额：</w:t>
            </w:r>
            <w:r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本公司约</w:t>
            </w:r>
            <w:r w:rsidRPr="000A0B1F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占50%</w:t>
            </w:r>
            <w:r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左右</w:t>
            </w:r>
            <w:r w:rsidRPr="000A0B1F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，</w:t>
            </w:r>
            <w:proofErr w:type="gramStart"/>
            <w:r w:rsidRPr="000A0B1F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胜狮</w:t>
            </w:r>
            <w:r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货柜</w:t>
            </w:r>
            <w:proofErr w:type="gramEnd"/>
            <w:r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约</w:t>
            </w:r>
            <w:r w:rsidRPr="000A0B1F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占20%，新华昌</w:t>
            </w:r>
            <w:r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约</w:t>
            </w:r>
            <w:r w:rsidRPr="000A0B1F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占8-10%</w:t>
            </w:r>
            <w:r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。</w:t>
            </w:r>
          </w:p>
          <w:p w:rsidR="00E94BAA" w:rsidRPr="007C2F1F" w:rsidRDefault="00330689" w:rsidP="000F6A43">
            <w:pPr>
              <w:spacing w:line="360" w:lineRule="auto"/>
              <w:ind w:left="-65" w:firstLineChars="236" w:firstLine="566"/>
              <w:rPr>
                <w:rFonts w:ascii="华文楷体" w:eastAsia="华文楷体" w:hAnsi="华文楷体"/>
                <w:bCs/>
                <w:iCs/>
                <w:color w:val="000000"/>
                <w:sz w:val="24"/>
              </w:rPr>
            </w:pPr>
            <w:r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2、公司其他重点板块业务情况</w:t>
            </w:r>
          </w:p>
          <w:p w:rsidR="00330689" w:rsidRDefault="002E7421" w:rsidP="00B64DAF">
            <w:pPr>
              <w:spacing w:line="360" w:lineRule="auto"/>
              <w:ind w:left="-65" w:firstLineChars="236" w:firstLine="566"/>
              <w:rPr>
                <w:rFonts w:ascii="华文楷体" w:eastAsia="华文楷体" w:hAnsi="华文楷体"/>
                <w:bCs/>
                <w:iCs/>
                <w:color w:val="000000"/>
                <w:sz w:val="24"/>
              </w:rPr>
            </w:pPr>
            <w:r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车辆业务</w:t>
            </w:r>
            <w:r w:rsidR="000B4360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整体</w:t>
            </w:r>
            <w:r w:rsidR="002E7237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情况</w:t>
            </w:r>
            <w:r w:rsidR="000B4360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不错，北美市场需求相对旺盛，新兴市场保持平稳，</w:t>
            </w:r>
            <w:r w:rsidR="00B20A87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已在</w:t>
            </w:r>
            <w:r w:rsidR="00B20A87" w:rsidRPr="000B4360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欧洲市场</w:t>
            </w:r>
            <w:r w:rsidR="00B20A87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布局，设立波兰基地，</w:t>
            </w:r>
            <w:r w:rsidR="000B4360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今年</w:t>
            </w:r>
            <w:r w:rsidR="00B20A87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上半年</w:t>
            </w:r>
            <w:r w:rsidR="000B4360" w:rsidRPr="000B4360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收购英国</w:t>
            </w:r>
            <w:r w:rsidR="00B20A87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最大</w:t>
            </w:r>
            <w:r w:rsidR="000B4360" w:rsidRPr="000B4360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半挂车领先企业。</w:t>
            </w:r>
            <w:r w:rsidR="00EB4B28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本公司车辆业务</w:t>
            </w:r>
            <w:r w:rsidR="00EB4B28" w:rsidRPr="00EB4B28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主要</w:t>
            </w:r>
            <w:r w:rsidR="000B4360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产品集中在物流类车辆、罐式车辆、</w:t>
            </w:r>
            <w:r w:rsidR="00B20A87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作业类车辆（环卫车、消防车等）</w:t>
            </w:r>
            <w:r w:rsidR="000B4360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、</w:t>
            </w:r>
            <w:r w:rsidR="00B20A87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工程类车辆（自卸车、散装水泥车等）</w:t>
            </w:r>
            <w:r w:rsidR="000B4360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，其中海外主要生产主流的冷藏车等，国内则以物流车、罐式车为主</w:t>
            </w:r>
            <w:r w:rsidR="00EB4B28" w:rsidRPr="00EB4B28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。</w:t>
            </w:r>
            <w:r w:rsidR="000B4360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前几年通过收</w:t>
            </w:r>
            <w:r w:rsidR="000B4360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lastRenderedPageBreak/>
              <w:t>购</w:t>
            </w:r>
            <w:r w:rsidR="00B20A87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德国</w:t>
            </w:r>
            <w:r w:rsidR="000B4360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齐格勒并将</w:t>
            </w:r>
            <w:r w:rsidR="00B20A87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其部分股权</w:t>
            </w:r>
            <w:r w:rsidR="000B4360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整合到</w:t>
            </w:r>
            <w:r w:rsidRPr="002E7421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中国消防</w:t>
            </w:r>
            <w:r w:rsidR="000B4360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下</w:t>
            </w:r>
            <w:r w:rsidR="002E7237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涉足消防车业务</w:t>
            </w:r>
            <w:r w:rsidR="00DE2E0A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。</w:t>
            </w:r>
            <w:r w:rsidR="00B20A87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近几年</w:t>
            </w:r>
            <w:r w:rsidR="00DE2E0A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车辆业务每年大概有</w:t>
            </w:r>
            <w:r w:rsidRPr="002E7421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120-140亿水平的收入</w:t>
            </w:r>
            <w:r w:rsidR="00DE2E0A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，近两年</w:t>
            </w:r>
            <w:r w:rsidR="009F523F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每年净</w:t>
            </w:r>
            <w:r w:rsidR="00DE2E0A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利润贡献大概在6亿左右。</w:t>
            </w:r>
          </w:p>
          <w:p w:rsidR="009F523F" w:rsidRDefault="009F523F" w:rsidP="00B64DAF">
            <w:pPr>
              <w:spacing w:line="360" w:lineRule="auto"/>
              <w:ind w:left="-65" w:firstLineChars="295" w:firstLine="708"/>
              <w:rPr>
                <w:rFonts w:ascii="华文楷体" w:eastAsia="华文楷体" w:hAnsi="华文楷体"/>
                <w:bCs/>
                <w:iCs/>
                <w:color w:val="000000"/>
                <w:sz w:val="24"/>
              </w:rPr>
            </w:pPr>
            <w:r w:rsidRPr="009F523F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本公司通过收购香港上市公司安瑞科进入能源</w:t>
            </w:r>
            <w:r w:rsidR="00B20A87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、</w:t>
            </w:r>
            <w:r w:rsidRPr="009F523F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化工及液态食品行业，从事广泛用于这三个行业的各类型运输、储存及加工装备的设计、开发、制造、工程及销售</w:t>
            </w:r>
            <w:r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以及相关</w:t>
            </w:r>
            <w:r w:rsidRPr="009F523F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技术保养服务</w:t>
            </w:r>
            <w:r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，力求覆盖上、中、下游全产业链。</w:t>
            </w:r>
            <w:r w:rsidRPr="009F523F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能源装备产品包括LNG拖车、LNG车载瓶及LNG加气站、小型钢瓶、燃料罐、大中型储罐工程以及衍生产品</w:t>
            </w:r>
            <w:r w:rsidR="002E7237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；化工产品方面，已经是最大</w:t>
            </w:r>
            <w:proofErr w:type="gramStart"/>
            <w:r w:rsidR="002E7237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的罐箱生产商</w:t>
            </w:r>
            <w:proofErr w:type="gramEnd"/>
            <w:r w:rsidR="002E7237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；液态食品产品为啤酒、果汁</w:t>
            </w:r>
            <w:r w:rsidRPr="009F523F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整体装备解决制造商。另外，工程承包方面也是行业领先地位。</w:t>
            </w:r>
            <w:r w:rsidR="00B20A87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在上半年终止对</w:t>
            </w:r>
            <w:r w:rsidRPr="009F523F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南通</w:t>
            </w:r>
            <w:proofErr w:type="gramStart"/>
            <w:r w:rsidRPr="009F523F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太平洋</w:t>
            </w:r>
            <w:r w:rsidR="00B20A87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海工</w:t>
            </w:r>
            <w:r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的</w:t>
            </w:r>
            <w:proofErr w:type="gramEnd"/>
            <w:r w:rsidR="00B20A87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收购并计提12.1亿元的</w:t>
            </w:r>
            <w:r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拨备</w:t>
            </w:r>
            <w:r w:rsidR="00B20A87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后</w:t>
            </w:r>
            <w:r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，目前公司正在寻求债务重组的</w:t>
            </w:r>
            <w:r w:rsidRPr="009F523F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一揽子解决方案，</w:t>
            </w:r>
            <w:r w:rsidR="00B20A87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争取</w:t>
            </w:r>
            <w:r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通过重组</w:t>
            </w:r>
            <w:r w:rsidRPr="009F523F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拿回</w:t>
            </w:r>
            <w:r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一些有价值的</w:t>
            </w:r>
            <w:r w:rsidRPr="009F523F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资产和业务；</w:t>
            </w:r>
            <w:r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如果</w:t>
            </w:r>
            <w:r w:rsidRPr="009F523F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不算拨备，</w:t>
            </w:r>
            <w:r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能</w:t>
            </w:r>
            <w:proofErr w:type="gramStart"/>
            <w:r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化业务</w:t>
            </w:r>
            <w:proofErr w:type="gramEnd"/>
            <w:r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大概有</w:t>
            </w:r>
            <w:r w:rsidRPr="009F523F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5亿</w:t>
            </w:r>
            <w:r w:rsidR="00B20A87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元</w:t>
            </w:r>
            <w:r w:rsidRPr="009F523F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的</w:t>
            </w:r>
            <w:r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盈利。</w:t>
            </w:r>
            <w:r w:rsidRPr="009F523F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明年基本面</w:t>
            </w:r>
            <w:r w:rsidR="00FA6178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预计会</w:t>
            </w:r>
            <w:r w:rsidRPr="009F523F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有进一步改善的机会</w:t>
            </w:r>
            <w:r w:rsidR="00B20A87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。</w:t>
            </w:r>
          </w:p>
          <w:p w:rsidR="00F75CA7" w:rsidRPr="00F75CA7" w:rsidRDefault="00B32DBF" w:rsidP="00B64DAF">
            <w:pPr>
              <w:spacing w:line="360" w:lineRule="auto"/>
              <w:ind w:left="-65" w:firstLineChars="295" w:firstLine="708"/>
              <w:rPr>
                <w:rFonts w:ascii="华文楷体" w:eastAsia="华文楷体" w:hAnsi="华文楷体"/>
                <w:bCs/>
                <w:iCs/>
                <w:color w:val="000000"/>
                <w:sz w:val="24"/>
              </w:rPr>
            </w:pPr>
            <w:proofErr w:type="gramStart"/>
            <w:r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本公司海工业务</w:t>
            </w:r>
            <w:proofErr w:type="gramEnd"/>
            <w:r w:rsidRPr="00F75CA7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处于</w:t>
            </w:r>
            <w:r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国内</w:t>
            </w:r>
            <w:r w:rsidR="00B20A87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行业</w:t>
            </w:r>
            <w:r w:rsidRPr="00F75CA7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第一梯队</w:t>
            </w:r>
            <w:r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，至今已经</w:t>
            </w:r>
            <w:r w:rsidR="00F75CA7" w:rsidRPr="00F75CA7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交</w:t>
            </w:r>
            <w:r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付</w:t>
            </w:r>
            <w:r w:rsidR="00F75CA7" w:rsidRPr="00F75CA7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9个</w:t>
            </w:r>
            <w:r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半潜式</w:t>
            </w:r>
            <w:r w:rsidR="00F75CA7" w:rsidRPr="00F75CA7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深水平台，9-10</w:t>
            </w:r>
            <w:r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个自升式平台。由于油价低迷，</w:t>
            </w:r>
            <w:r w:rsidR="00F75CA7" w:rsidRPr="00F75CA7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近两年订单萎缩，</w:t>
            </w:r>
            <w:r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主要在陆续推进</w:t>
            </w:r>
            <w:r w:rsidR="00F75CA7" w:rsidRPr="00F75CA7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和交付</w:t>
            </w:r>
            <w:r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原有订单。公司有</w:t>
            </w:r>
            <w:r w:rsidR="00FA6178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部分</w:t>
            </w:r>
            <w:r w:rsidR="00F75CA7" w:rsidRPr="00F75CA7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自建项目</w:t>
            </w:r>
            <w:r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，但存在租金低或者</w:t>
            </w:r>
            <w:r w:rsidR="00F75CA7" w:rsidRPr="00F75CA7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闲置</w:t>
            </w:r>
            <w:r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的问题，大概</w:t>
            </w:r>
            <w:r w:rsidR="00F75CA7" w:rsidRPr="00F75CA7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占到</w:t>
            </w:r>
            <w:r w:rsidR="00B20A87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公司总资产</w:t>
            </w:r>
            <w:r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三</w:t>
            </w:r>
            <w:r w:rsidR="00F75CA7" w:rsidRPr="00F75CA7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分之</w:t>
            </w:r>
            <w:r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一。</w:t>
            </w:r>
            <w:r w:rsidR="00FA6178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为了应对行业周期底部，</w:t>
            </w:r>
            <w:r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海工业务</w:t>
            </w:r>
            <w:r w:rsidR="00FA6178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正在</w:t>
            </w:r>
            <w:r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找寻</w:t>
            </w:r>
            <w:r w:rsidR="00F75CA7" w:rsidRPr="00F75CA7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强</w:t>
            </w:r>
            <w:proofErr w:type="gramStart"/>
            <w:r w:rsidR="00F75CA7" w:rsidRPr="00F75CA7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强</w:t>
            </w:r>
            <w:proofErr w:type="gramEnd"/>
            <w:r w:rsidR="00F75CA7" w:rsidRPr="00F75CA7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合作的伙伴，</w:t>
            </w:r>
            <w:r w:rsidR="00B20A87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未来</w:t>
            </w:r>
            <w:r w:rsidR="00F75CA7" w:rsidRPr="00F75CA7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不</w:t>
            </w:r>
            <w:r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再</w:t>
            </w:r>
            <w:r w:rsidR="00B20A87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谋求</w:t>
            </w:r>
            <w:r w:rsidR="00F75CA7" w:rsidRPr="00F75CA7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100%持股；</w:t>
            </w:r>
            <w:r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同时，积极</w:t>
            </w:r>
            <w:r w:rsidR="00F75CA7" w:rsidRPr="00F75CA7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筹</w:t>
            </w:r>
            <w:r w:rsidR="00B20A87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划</w:t>
            </w:r>
            <w:r w:rsidR="00F75CA7" w:rsidRPr="00F75CA7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产业基金</w:t>
            </w:r>
            <w:r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，分散风险</w:t>
            </w:r>
            <w:r w:rsidR="00B20A87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，降低财务负担</w:t>
            </w:r>
            <w:r w:rsidR="00F75CA7" w:rsidRPr="00F75CA7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；</w:t>
            </w:r>
            <w:r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另一方面，今年6月，</w:t>
            </w:r>
            <w:r w:rsidRPr="00B32DBF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中</w:t>
            </w:r>
            <w:proofErr w:type="gramStart"/>
            <w:r w:rsidRPr="00B32DBF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集</w:t>
            </w:r>
            <w:r w:rsidRPr="00B32DBF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lastRenderedPageBreak/>
              <w:t>海工与</w:t>
            </w:r>
            <w:proofErr w:type="gramEnd"/>
            <w:r w:rsidRPr="00B32DBF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国</w:t>
            </w:r>
            <w:proofErr w:type="gramStart"/>
            <w:r w:rsidRPr="00B32DBF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投创新</w:t>
            </w:r>
            <w:proofErr w:type="gramEnd"/>
            <w:r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签订了合作框架协议，国</w:t>
            </w:r>
            <w:proofErr w:type="gramStart"/>
            <w:r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投创新拟</w:t>
            </w:r>
            <w:proofErr w:type="gramEnd"/>
            <w:r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投资10个亿，以持有</w:t>
            </w:r>
            <w:r w:rsidRPr="00B32DBF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中</w:t>
            </w:r>
            <w:proofErr w:type="gramStart"/>
            <w:r w:rsidRPr="00B32DBF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集海工</w:t>
            </w:r>
            <w:proofErr w:type="gramEnd"/>
            <w:r w:rsidRPr="00B32DBF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15%</w:t>
            </w:r>
            <w:r w:rsidR="002E7237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股份。短期来看，公司</w:t>
            </w:r>
            <w:r w:rsidRPr="00B32DBF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也在研究</w:t>
            </w:r>
            <w:r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和</w:t>
            </w:r>
            <w:r w:rsidRPr="00F75CA7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寻找非油气</w:t>
            </w:r>
            <w:r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或非周期类海上装备业务，比如</w:t>
            </w:r>
            <w:r w:rsidRPr="00B32DBF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海上移动发电站</w:t>
            </w:r>
            <w:r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、海上核电站、海水净化</w:t>
            </w:r>
            <w:r w:rsidR="002E7237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装置</w:t>
            </w:r>
            <w:r w:rsidRPr="00B32DBF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等</w:t>
            </w:r>
            <w:r w:rsidR="00F75CA7" w:rsidRPr="00F75CA7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。油价如果能回到6</w:t>
            </w:r>
            <w:r w:rsidR="00B20A87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0-</w:t>
            </w:r>
            <w:r w:rsidR="00B20A87" w:rsidRPr="00F75CA7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70</w:t>
            </w:r>
            <w:r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美元</w:t>
            </w:r>
            <w:r w:rsidR="00B20A87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之上</w:t>
            </w:r>
            <w:r w:rsidR="00F75CA7" w:rsidRPr="00F75CA7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，会对</w:t>
            </w:r>
            <w:r w:rsidR="00B20A87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深海</w:t>
            </w:r>
            <w:r w:rsidR="00F75CA7" w:rsidRPr="00F75CA7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石油开采</w:t>
            </w:r>
            <w:r w:rsidR="00B20A87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的资本开支</w:t>
            </w:r>
            <w:r w:rsidR="00F75CA7" w:rsidRPr="00F75CA7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有驱动作用</w:t>
            </w:r>
            <w:r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，从而</w:t>
            </w:r>
            <w:proofErr w:type="gramStart"/>
            <w:r w:rsidR="00B20A87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有利于</w:t>
            </w:r>
            <w:r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海工</w:t>
            </w:r>
            <w:r w:rsidR="00B20A87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行业</w:t>
            </w:r>
            <w:proofErr w:type="gramEnd"/>
            <w:r w:rsidR="00B20A87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景气度回暖</w:t>
            </w:r>
            <w:r w:rsidR="00F75CA7" w:rsidRPr="00F75CA7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。</w:t>
            </w:r>
            <w:r w:rsidR="008A13AF" w:rsidRPr="008A13AF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由于市场交投清淡，一些平台出现暂时的闲置及经营性亏损，同时目前阶段的租金水平较低，这些均难以</w:t>
            </w:r>
            <w:proofErr w:type="gramStart"/>
            <w:r w:rsidR="008A13AF" w:rsidRPr="008A13AF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反映海工装备</w:t>
            </w:r>
            <w:proofErr w:type="gramEnd"/>
            <w:r w:rsidR="00B20A87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长期</w:t>
            </w:r>
            <w:r w:rsidR="008A13AF" w:rsidRPr="008A13AF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资产的内在价值，</w:t>
            </w:r>
            <w:r w:rsidR="00B20A87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但油价已脱离去年的低点，未来存在继续回升机会，</w:t>
            </w:r>
            <w:r w:rsidR="008A13AF" w:rsidRPr="008A13AF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因此公司不会考虑</w:t>
            </w:r>
            <w:r w:rsidR="002E7237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计提</w:t>
            </w:r>
            <w:r w:rsidR="008A13AF" w:rsidRPr="008A13AF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资产减值准备。</w:t>
            </w:r>
          </w:p>
          <w:p w:rsidR="00B32DBF" w:rsidRDefault="00330689" w:rsidP="000F6A43">
            <w:pPr>
              <w:spacing w:line="360" w:lineRule="auto"/>
              <w:ind w:left="480"/>
              <w:rPr>
                <w:rFonts w:ascii="华文楷体" w:eastAsia="华文楷体" w:hAnsi="华文楷体"/>
                <w:bCs/>
                <w:iCs/>
                <w:color w:val="000000"/>
                <w:sz w:val="24"/>
              </w:rPr>
            </w:pPr>
            <w:r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3、</w:t>
            </w:r>
            <w:r w:rsidR="00B20A87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A</w:t>
            </w:r>
            <w:proofErr w:type="gramStart"/>
            <w:r w:rsidR="00B20A87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股非公开</w:t>
            </w:r>
            <w:proofErr w:type="gramEnd"/>
            <w:r w:rsidR="00B32DBF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增发进展</w:t>
            </w:r>
          </w:p>
          <w:p w:rsidR="008A13AF" w:rsidRDefault="008A13AF" w:rsidP="00B64DAF">
            <w:pPr>
              <w:spacing w:line="360" w:lineRule="auto"/>
              <w:ind w:left="-65" w:firstLineChars="236" w:firstLine="566"/>
              <w:rPr>
                <w:rFonts w:ascii="华文楷体" w:eastAsia="华文楷体" w:hAnsi="华文楷体"/>
                <w:bCs/>
                <w:iCs/>
                <w:color w:val="000000"/>
                <w:sz w:val="24"/>
              </w:rPr>
            </w:pPr>
            <w:r w:rsidRPr="00D55557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本次A股</w:t>
            </w:r>
            <w:r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增发</w:t>
            </w:r>
            <w:r w:rsidRPr="00D55557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计划融资60亿，其中20亿用来给中集融资租赁增资，</w:t>
            </w:r>
            <w:r w:rsidR="00B20A87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8</w:t>
            </w:r>
            <w:r w:rsidR="002E7237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亿</w:t>
            </w:r>
            <w:bookmarkStart w:id="2" w:name="_GoBack"/>
            <w:bookmarkEnd w:id="2"/>
            <w:r w:rsidR="00B20A87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投入物流装备制造及物流服务（深圳干货箱工厂搬迁即</w:t>
            </w:r>
            <w:r w:rsidR="00B20A87" w:rsidRPr="00D55557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东莞凤岗项目</w:t>
            </w:r>
            <w:r w:rsidR="00B20A87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、青岛特冷搬迁、</w:t>
            </w:r>
            <w:r w:rsidR="00B20A87" w:rsidRPr="00D55557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多式联运公司项目</w:t>
            </w:r>
            <w:r w:rsidR="00B20A87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）、14亿元投入产业地产项目（中集智谷、</w:t>
            </w:r>
            <w:r w:rsidR="00B20A87" w:rsidRPr="00D55557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智荟园项目</w:t>
            </w:r>
            <w:r w:rsidR="00B20A87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），</w:t>
            </w:r>
            <w:r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18亿</w:t>
            </w:r>
            <w:r w:rsidR="00B20A87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元</w:t>
            </w:r>
            <w:r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用</w:t>
            </w:r>
            <w:r w:rsidR="00B20A87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于</w:t>
            </w:r>
            <w:r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补充流动资金</w:t>
            </w:r>
            <w:r w:rsidRPr="00D55557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。</w:t>
            </w:r>
          </w:p>
          <w:p w:rsidR="00B32DBF" w:rsidRDefault="00B32DBF" w:rsidP="00B64DAF">
            <w:pPr>
              <w:spacing w:line="360" w:lineRule="auto"/>
              <w:ind w:left="-65" w:firstLineChars="236" w:firstLine="566"/>
              <w:rPr>
                <w:rFonts w:ascii="华文楷体" w:eastAsia="华文楷体" w:hAnsi="华文楷体"/>
                <w:bCs/>
                <w:iCs/>
                <w:color w:val="000000"/>
                <w:sz w:val="24"/>
              </w:rPr>
            </w:pPr>
            <w:r w:rsidRPr="00B32DBF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非公开发行方案已经于9月30日报送中国证监会，并于10月14</w:t>
            </w:r>
            <w:r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日获得受理。预计</w:t>
            </w:r>
            <w:r w:rsidR="00B20A87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近期</w:t>
            </w:r>
            <w:r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会收到证监会第一次反馈意见</w:t>
            </w:r>
            <w:r w:rsidRPr="00B32DBF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。</w:t>
            </w:r>
          </w:p>
          <w:p w:rsidR="00E94BAA" w:rsidRDefault="00974C72" w:rsidP="000F6A43">
            <w:pPr>
              <w:spacing w:line="360" w:lineRule="auto"/>
              <w:ind w:left="480"/>
              <w:rPr>
                <w:rFonts w:ascii="华文楷体" w:eastAsia="华文楷体" w:hAnsi="华文楷体"/>
                <w:bCs/>
                <w:iCs/>
                <w:color w:val="000000"/>
                <w:sz w:val="24"/>
              </w:rPr>
            </w:pPr>
            <w:r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4、公司土地</w:t>
            </w:r>
            <w:r w:rsidR="00E94BAA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情况</w:t>
            </w:r>
          </w:p>
          <w:p w:rsidR="001F4AAE" w:rsidRDefault="001F4AAE" w:rsidP="001F4AAE">
            <w:pPr>
              <w:spacing w:line="360" w:lineRule="auto"/>
              <w:ind w:left="-65" w:firstLineChars="236" w:firstLine="566"/>
              <w:rPr>
                <w:rFonts w:ascii="华文楷体" w:eastAsia="华文楷体" w:hAnsi="华文楷体"/>
                <w:bCs/>
                <w:iCs/>
                <w:color w:val="000000"/>
                <w:sz w:val="24"/>
              </w:rPr>
            </w:pPr>
            <w:r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目前，公司可梳理的</w:t>
            </w:r>
            <w:r w:rsidRPr="004B0133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闲置</w:t>
            </w:r>
            <w:r w:rsidR="00B20A87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工业及物流仓储</w:t>
            </w:r>
            <w:r w:rsidRPr="004B0133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土地</w:t>
            </w:r>
            <w:r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大概为</w:t>
            </w:r>
            <w:r w:rsidRPr="004B0133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5000</w:t>
            </w:r>
            <w:r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亩</w:t>
            </w:r>
            <w:r w:rsidRPr="004B0133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，</w:t>
            </w:r>
            <w:r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主</w:t>
            </w:r>
            <w:r w:rsidR="00FE6FF1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要</w:t>
            </w:r>
            <w:r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用于物流地产发展用途。开发模</w:t>
            </w:r>
            <w:r w:rsidRPr="004B0133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式包括（1）</w:t>
            </w:r>
            <w:r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直接</w:t>
            </w:r>
            <w:r w:rsidRPr="004B0133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出售土地权益；（2）引入战略合作者</w:t>
            </w:r>
            <w:r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进行项目合作</w:t>
            </w:r>
            <w:r w:rsidRPr="004B0133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。</w:t>
            </w:r>
            <w:r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土地</w:t>
            </w:r>
            <w:r w:rsidRPr="004B0133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开发资</w:t>
            </w:r>
            <w:r w:rsidRPr="004B0133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lastRenderedPageBreak/>
              <w:t>金的</w:t>
            </w:r>
            <w:r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渠道</w:t>
            </w:r>
            <w:r w:rsidRPr="004B0133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，</w:t>
            </w:r>
            <w:r w:rsidR="00A21E63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主要</w:t>
            </w:r>
            <w:r w:rsidRPr="004B0133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包括公司自有资金、融资、引入战略合作者等</w:t>
            </w:r>
            <w:r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。</w:t>
            </w:r>
          </w:p>
          <w:p w:rsidR="00B20A87" w:rsidRDefault="00B20A87" w:rsidP="00FE6FF1">
            <w:pPr>
              <w:spacing w:line="360" w:lineRule="auto"/>
              <w:ind w:firstLineChars="200" w:firstLine="480"/>
              <w:rPr>
                <w:rFonts w:ascii="华文楷体" w:eastAsia="华文楷体" w:hAnsi="华文楷体"/>
                <w:bCs/>
                <w:iCs/>
                <w:color w:val="000000"/>
                <w:sz w:val="24"/>
              </w:rPr>
            </w:pPr>
            <w:r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此外公司在深圳前海、蛇口太子湾、</w:t>
            </w:r>
            <w:r w:rsidR="00BF396D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坪山以及</w:t>
            </w:r>
            <w:r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上海宝山等一线城市拥有若干地块。</w:t>
            </w:r>
          </w:p>
          <w:p w:rsidR="00E94BAA" w:rsidRDefault="006F7673" w:rsidP="006F7673">
            <w:pPr>
              <w:spacing w:line="360" w:lineRule="auto"/>
              <w:ind w:firstLineChars="200" w:firstLine="480"/>
              <w:rPr>
                <w:rFonts w:ascii="华文楷体" w:eastAsia="华文楷体" w:hAnsi="华文楷体"/>
                <w:bCs/>
                <w:iCs/>
                <w:color w:val="000000"/>
                <w:sz w:val="24"/>
              </w:rPr>
            </w:pPr>
            <w:bookmarkStart w:id="3" w:name="OLE_LINK3"/>
            <w:bookmarkStart w:id="4" w:name="OLE_LINK4"/>
            <w:bookmarkStart w:id="5" w:name="OLE_LINK5"/>
            <w:r w:rsidRPr="006F7673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前海土地约52</w:t>
            </w:r>
            <w:r w:rsidR="00387708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万平米占地面积，预计</w:t>
            </w:r>
            <w:r w:rsidRPr="006F7673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可开发物业约150万平米建筑面积。初步计划土地用途主要是商用、写字楼、酒店，少部分用作公寓。公司正在与深圳市政府部门就框架协议的核心内容协商，将由政府与公司根据比例分享土地转性后带来的收益。</w:t>
            </w:r>
          </w:p>
          <w:bookmarkEnd w:id="3"/>
          <w:bookmarkEnd w:id="4"/>
          <w:bookmarkEnd w:id="5"/>
          <w:p w:rsidR="00FE6FF1" w:rsidRPr="00486E6E" w:rsidRDefault="00E94BAA" w:rsidP="00AE3ECB">
            <w:pPr>
              <w:spacing w:line="360" w:lineRule="auto"/>
              <w:ind w:left="-65" w:firstLineChars="236" w:firstLine="566"/>
              <w:rPr>
                <w:rFonts w:ascii="华文楷体" w:eastAsia="华文楷体" w:hAnsi="华文楷体"/>
                <w:bCs/>
                <w:iCs/>
                <w:color w:val="000000"/>
                <w:sz w:val="24"/>
              </w:rPr>
            </w:pPr>
            <w:r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除前海以外，目前正在协调的重点地块包括：</w:t>
            </w:r>
            <w:r w:rsidRPr="004B0133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（1）深圳太子湾，</w:t>
            </w:r>
            <w:r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占地面积约</w:t>
            </w:r>
            <w:r w:rsidRPr="004B0133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4万平米，建筑面积20万</w:t>
            </w:r>
            <w:r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平米</w:t>
            </w:r>
            <w:r w:rsidRPr="004B0133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，</w:t>
            </w:r>
            <w:r w:rsidR="00FE6FF1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计划</w:t>
            </w:r>
            <w:r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修建</w:t>
            </w:r>
            <w:r w:rsidRPr="004B0133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高层</w:t>
            </w:r>
            <w:r w:rsidR="00B20A87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商住楼</w:t>
            </w:r>
            <w:r w:rsidRPr="004B0133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；（2）上海宝山：</w:t>
            </w:r>
            <w:r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约</w:t>
            </w:r>
            <w:r w:rsidR="00B20A87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53</w:t>
            </w:r>
            <w:r w:rsidRPr="004B0133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万平米</w:t>
            </w:r>
            <w:r w:rsidR="00B20A87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建筑面积</w:t>
            </w:r>
            <w:r w:rsidRPr="004B0133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，</w:t>
            </w:r>
            <w:r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将采取</w:t>
            </w:r>
            <w:r w:rsidR="00FE6FF1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定向</w:t>
            </w:r>
            <w:proofErr w:type="gramStart"/>
            <w:r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招拍挂</w:t>
            </w:r>
            <w:proofErr w:type="gramEnd"/>
            <w:r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的方式取得土地开发权，可能</w:t>
            </w:r>
            <w:r w:rsidRPr="004B0133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用作商业、</w:t>
            </w:r>
            <w:r w:rsidR="00B20A87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商务、产业园、</w:t>
            </w:r>
            <w:r w:rsidRPr="004B0133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住宅、办公等</w:t>
            </w:r>
            <w:r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综合项目</w:t>
            </w:r>
            <w:r w:rsidRPr="004B0133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；（3）深圳坪山：</w:t>
            </w:r>
            <w:r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约80</w:t>
            </w:r>
            <w:r w:rsidRPr="004B0133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万平米，</w:t>
            </w:r>
            <w:r w:rsidR="00B20A87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建筑面积240万平方米，未来计划</w:t>
            </w:r>
            <w:r w:rsidR="00B20A87" w:rsidRPr="004B0133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开发</w:t>
            </w:r>
            <w:r w:rsidRPr="004B0133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生命健康产业园，包括办公、住宅、产业用地等</w:t>
            </w:r>
            <w:r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。</w:t>
            </w:r>
          </w:p>
        </w:tc>
      </w:tr>
      <w:tr w:rsidR="00E94BAA" w:rsidRPr="00D33505" w:rsidTr="000F6A43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BAA" w:rsidRPr="00D33505" w:rsidRDefault="00E94BAA" w:rsidP="000F6A43">
            <w:pPr>
              <w:rPr>
                <w:rFonts w:ascii="华文楷体" w:eastAsia="华文楷体" w:hAnsi="华文楷体"/>
                <w:bCs/>
                <w:iCs/>
                <w:color w:val="000000"/>
                <w:sz w:val="24"/>
              </w:rPr>
            </w:pPr>
            <w:r w:rsidRPr="00D33505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lastRenderedPageBreak/>
              <w:t>附件清单（如有）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BAA" w:rsidRPr="00D33505" w:rsidRDefault="00E94BAA" w:rsidP="000F6A43">
            <w:pPr>
              <w:rPr>
                <w:rFonts w:ascii="华文楷体" w:eastAsia="华文楷体" w:hAnsi="华文楷体"/>
                <w:bCs/>
                <w:iCs/>
                <w:color w:val="000000"/>
                <w:sz w:val="24"/>
              </w:rPr>
            </w:pPr>
            <w:r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无</w:t>
            </w:r>
          </w:p>
        </w:tc>
      </w:tr>
      <w:tr w:rsidR="00E94BAA" w:rsidRPr="00D33505" w:rsidTr="000F6A43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BAA" w:rsidRPr="00D33505" w:rsidRDefault="00E94BAA" w:rsidP="000F6A43">
            <w:pPr>
              <w:rPr>
                <w:rFonts w:ascii="华文楷体" w:eastAsia="华文楷体" w:hAnsi="华文楷体"/>
                <w:bCs/>
                <w:iCs/>
                <w:color w:val="000000"/>
                <w:sz w:val="24"/>
              </w:rPr>
            </w:pPr>
            <w:r w:rsidRPr="00D33505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日期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BAA" w:rsidRPr="00D33505" w:rsidRDefault="00E94BAA" w:rsidP="000F6A43">
            <w:pPr>
              <w:rPr>
                <w:rFonts w:ascii="华文楷体" w:eastAsia="华文楷体" w:hAnsi="华文楷体"/>
                <w:bCs/>
                <w:iCs/>
                <w:color w:val="000000"/>
                <w:sz w:val="24"/>
              </w:rPr>
            </w:pPr>
            <w:r w:rsidRPr="00D33505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2016年</w:t>
            </w:r>
            <w:r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11</w:t>
            </w:r>
            <w:r w:rsidRPr="00D33505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月</w:t>
            </w:r>
            <w:r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15</w:t>
            </w:r>
            <w:r w:rsidRPr="00D33505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日</w:t>
            </w:r>
          </w:p>
        </w:tc>
      </w:tr>
    </w:tbl>
    <w:p w:rsidR="00A60A83" w:rsidRDefault="007F08D1"/>
    <w:sectPr w:rsidR="00A60A83" w:rsidSect="002011F8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8D1" w:rsidRDefault="007F08D1">
      <w:r>
        <w:separator/>
      </w:r>
    </w:p>
  </w:endnote>
  <w:endnote w:type="continuationSeparator" w:id="0">
    <w:p w:rsidR="007F08D1" w:rsidRDefault="007F0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0FF" w:rsidRDefault="00FE6FF1" w:rsidP="005830FF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2E7237" w:rsidRPr="002E7237">
      <w:rPr>
        <w:noProof/>
        <w:lang w:val="zh-CN"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8D1" w:rsidRDefault="007F08D1">
      <w:r>
        <w:separator/>
      </w:r>
    </w:p>
  </w:footnote>
  <w:footnote w:type="continuationSeparator" w:id="0">
    <w:p w:rsidR="007F08D1" w:rsidRDefault="007F08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97DFC"/>
    <w:multiLevelType w:val="hybridMultilevel"/>
    <w:tmpl w:val="1F822660"/>
    <w:lvl w:ilvl="0" w:tplc="9CA4C64E">
      <w:start w:val="1"/>
      <w:numFmt w:val="decimal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BAA"/>
    <w:rsid w:val="0000556F"/>
    <w:rsid w:val="00014434"/>
    <w:rsid w:val="00046E87"/>
    <w:rsid w:val="0009095D"/>
    <w:rsid w:val="000B4360"/>
    <w:rsid w:val="000C439E"/>
    <w:rsid w:val="000E1D36"/>
    <w:rsid w:val="000E1ED5"/>
    <w:rsid w:val="00120F65"/>
    <w:rsid w:val="00170B4A"/>
    <w:rsid w:val="00173DE7"/>
    <w:rsid w:val="00194186"/>
    <w:rsid w:val="001A5BFC"/>
    <w:rsid w:val="001A6D43"/>
    <w:rsid w:val="001B3830"/>
    <w:rsid w:val="001B677D"/>
    <w:rsid w:val="001F4AAE"/>
    <w:rsid w:val="00210212"/>
    <w:rsid w:val="00221A26"/>
    <w:rsid w:val="0028603A"/>
    <w:rsid w:val="002A13F7"/>
    <w:rsid w:val="002A4651"/>
    <w:rsid w:val="002A67D1"/>
    <w:rsid w:val="002B6017"/>
    <w:rsid w:val="002D1FA1"/>
    <w:rsid w:val="002E0B98"/>
    <w:rsid w:val="002E5826"/>
    <w:rsid w:val="002E7237"/>
    <w:rsid w:val="002E7421"/>
    <w:rsid w:val="002E7AAA"/>
    <w:rsid w:val="002F68CA"/>
    <w:rsid w:val="0031185C"/>
    <w:rsid w:val="00330689"/>
    <w:rsid w:val="003318C0"/>
    <w:rsid w:val="00347A52"/>
    <w:rsid w:val="00364062"/>
    <w:rsid w:val="00377C25"/>
    <w:rsid w:val="00387708"/>
    <w:rsid w:val="0039045A"/>
    <w:rsid w:val="003B7C6B"/>
    <w:rsid w:val="003C77E4"/>
    <w:rsid w:val="00403A5E"/>
    <w:rsid w:val="004451BD"/>
    <w:rsid w:val="0046713C"/>
    <w:rsid w:val="004C6956"/>
    <w:rsid w:val="00502ADB"/>
    <w:rsid w:val="00591FA3"/>
    <w:rsid w:val="0059312A"/>
    <w:rsid w:val="005D1EC1"/>
    <w:rsid w:val="005F234A"/>
    <w:rsid w:val="00665BA6"/>
    <w:rsid w:val="00666B47"/>
    <w:rsid w:val="006A3FA1"/>
    <w:rsid w:val="006B703D"/>
    <w:rsid w:val="006D0839"/>
    <w:rsid w:val="006E77C2"/>
    <w:rsid w:val="006F16B2"/>
    <w:rsid w:val="006F7673"/>
    <w:rsid w:val="00715572"/>
    <w:rsid w:val="00733608"/>
    <w:rsid w:val="007356D7"/>
    <w:rsid w:val="007536F2"/>
    <w:rsid w:val="007730A0"/>
    <w:rsid w:val="007A356B"/>
    <w:rsid w:val="007A70B0"/>
    <w:rsid w:val="007C2F1F"/>
    <w:rsid w:val="007E44E1"/>
    <w:rsid w:val="007E762D"/>
    <w:rsid w:val="007F08D1"/>
    <w:rsid w:val="00840AC7"/>
    <w:rsid w:val="00843674"/>
    <w:rsid w:val="008A13AF"/>
    <w:rsid w:val="0094356A"/>
    <w:rsid w:val="009577D6"/>
    <w:rsid w:val="00960E04"/>
    <w:rsid w:val="00974C72"/>
    <w:rsid w:val="009822E1"/>
    <w:rsid w:val="00984105"/>
    <w:rsid w:val="009F523F"/>
    <w:rsid w:val="00A21E63"/>
    <w:rsid w:val="00A3003B"/>
    <w:rsid w:val="00A32EF1"/>
    <w:rsid w:val="00A34BE7"/>
    <w:rsid w:val="00A54AB0"/>
    <w:rsid w:val="00A66C61"/>
    <w:rsid w:val="00AD19A8"/>
    <w:rsid w:val="00AD29F8"/>
    <w:rsid w:val="00AE3CE3"/>
    <w:rsid w:val="00AE3ECB"/>
    <w:rsid w:val="00AE5C20"/>
    <w:rsid w:val="00AF1612"/>
    <w:rsid w:val="00B12FED"/>
    <w:rsid w:val="00B16B04"/>
    <w:rsid w:val="00B20A87"/>
    <w:rsid w:val="00B32DBF"/>
    <w:rsid w:val="00B64DAF"/>
    <w:rsid w:val="00BA1823"/>
    <w:rsid w:val="00BA50AB"/>
    <w:rsid w:val="00BB0245"/>
    <w:rsid w:val="00BC1AE8"/>
    <w:rsid w:val="00BC30CE"/>
    <w:rsid w:val="00BD349E"/>
    <w:rsid w:val="00BE1919"/>
    <w:rsid w:val="00BE2683"/>
    <w:rsid w:val="00BF396D"/>
    <w:rsid w:val="00C32FC4"/>
    <w:rsid w:val="00C50A0C"/>
    <w:rsid w:val="00CD76D7"/>
    <w:rsid w:val="00D16294"/>
    <w:rsid w:val="00D2329F"/>
    <w:rsid w:val="00D25C01"/>
    <w:rsid w:val="00D25CE9"/>
    <w:rsid w:val="00D55557"/>
    <w:rsid w:val="00D84357"/>
    <w:rsid w:val="00DA3262"/>
    <w:rsid w:val="00DD3EA9"/>
    <w:rsid w:val="00DE2E0A"/>
    <w:rsid w:val="00DE7B3D"/>
    <w:rsid w:val="00DF58DC"/>
    <w:rsid w:val="00DF6598"/>
    <w:rsid w:val="00DF68B1"/>
    <w:rsid w:val="00E349F1"/>
    <w:rsid w:val="00E76385"/>
    <w:rsid w:val="00E94BAA"/>
    <w:rsid w:val="00EA3781"/>
    <w:rsid w:val="00EB4B28"/>
    <w:rsid w:val="00EF628B"/>
    <w:rsid w:val="00F0494F"/>
    <w:rsid w:val="00F45D19"/>
    <w:rsid w:val="00F75CA7"/>
    <w:rsid w:val="00F81BE9"/>
    <w:rsid w:val="00FA6178"/>
    <w:rsid w:val="00FB7705"/>
    <w:rsid w:val="00FC1D76"/>
    <w:rsid w:val="00FD56C0"/>
    <w:rsid w:val="00FE6FF1"/>
    <w:rsid w:val="00FF4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BA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E94BAA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 w:val="x-none" w:eastAsia="x-none"/>
    </w:rPr>
  </w:style>
  <w:style w:type="character" w:customStyle="1" w:styleId="Char">
    <w:name w:val="页脚 Char"/>
    <w:basedOn w:val="a0"/>
    <w:link w:val="a3"/>
    <w:uiPriority w:val="99"/>
    <w:rsid w:val="00E94BAA"/>
    <w:rPr>
      <w:rFonts w:ascii="Times New Roman" w:eastAsia="宋体" w:hAnsi="Times New Roman" w:cs="Times New Roman"/>
      <w:kern w:val="0"/>
      <w:sz w:val="18"/>
      <w:szCs w:val="18"/>
      <w:lang w:val="x-none" w:eastAsia="x-none"/>
    </w:rPr>
  </w:style>
  <w:style w:type="paragraph" w:styleId="a4">
    <w:name w:val="header"/>
    <w:basedOn w:val="a"/>
    <w:link w:val="Char0"/>
    <w:uiPriority w:val="99"/>
    <w:unhideWhenUsed/>
    <w:rsid w:val="00170B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170B4A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BA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E94BAA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 w:val="x-none" w:eastAsia="x-none"/>
    </w:rPr>
  </w:style>
  <w:style w:type="character" w:customStyle="1" w:styleId="Char">
    <w:name w:val="页脚 Char"/>
    <w:basedOn w:val="a0"/>
    <w:link w:val="a3"/>
    <w:uiPriority w:val="99"/>
    <w:rsid w:val="00E94BAA"/>
    <w:rPr>
      <w:rFonts w:ascii="Times New Roman" w:eastAsia="宋体" w:hAnsi="Times New Roman" w:cs="Times New Roman"/>
      <w:kern w:val="0"/>
      <w:sz w:val="18"/>
      <w:szCs w:val="18"/>
      <w:lang w:val="x-none" w:eastAsia="x-none"/>
    </w:rPr>
  </w:style>
  <w:style w:type="paragraph" w:styleId="a4">
    <w:name w:val="header"/>
    <w:basedOn w:val="a"/>
    <w:link w:val="Char0"/>
    <w:uiPriority w:val="99"/>
    <w:unhideWhenUsed/>
    <w:rsid w:val="00170B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170B4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8EC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6</Pages>
  <Words>472</Words>
  <Characters>2696</Characters>
  <Application>Microsoft Office Word</Application>
  <DocSecurity>0</DocSecurity>
  <Lines>22</Lines>
  <Paragraphs>6</Paragraphs>
  <ScaleCrop>false</ScaleCrop>
  <Company/>
  <LinksUpToDate>false</LinksUpToDate>
  <CharactersWithSpaces>3162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宾蓓/Irene</dc:creator>
  <cp:lastModifiedBy>宾蓓/Irene</cp:lastModifiedBy>
  <cp:revision>13</cp:revision>
  <dcterms:created xsi:type="dcterms:W3CDTF">2016-11-16T21:25:00Z</dcterms:created>
  <dcterms:modified xsi:type="dcterms:W3CDTF">2016-11-17T08:21:00Z</dcterms:modified>
</cp:coreProperties>
</file>