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0" w:rsidRDefault="00CA34E0" w:rsidP="00CA34E0">
      <w:pPr>
        <w:spacing w:beforeLines="50" w:before="156" w:afterLines="50" w:after="156" w:line="46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证券代码：000661                              证券简称：长春高新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长春高新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机构投资者调研</w:t>
            </w:r>
          </w:p>
        </w:tc>
      </w:tr>
      <w:tr w:rsidR="00CA34E0" w:rsidRPr="0092182D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参与单位名称</w:t>
            </w:r>
          </w:p>
        </w:tc>
        <w:tc>
          <w:tcPr>
            <w:tcW w:w="5954" w:type="dxa"/>
            <w:hideMark/>
          </w:tcPr>
          <w:p w:rsidR="00CA34E0" w:rsidRPr="00634478" w:rsidRDefault="002109A2" w:rsidP="002109A2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东北证券、华融证券、国海证券、万联证券、招商基金、鹏华基金、大成基金、国寿安保基金、泰达宏利基金</w:t>
            </w:r>
            <w:r w:rsidR="00CC7105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、前海旗隆基金、壹玖资产、景林资产、通晟资产、国泰元鑫资产、润达盛安投资15家机构投资者。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5954" w:type="dxa"/>
            <w:hideMark/>
          </w:tcPr>
          <w:p w:rsidR="00CA34E0" w:rsidRPr="00361642" w:rsidRDefault="00CA34E0" w:rsidP="001237C1">
            <w:pPr>
              <w:spacing w:line="276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2016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1237C1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1</w:t>
            </w:r>
            <w:r w:rsidR="001237C1"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5954" w:type="dxa"/>
            <w:hideMark/>
          </w:tcPr>
          <w:p w:rsidR="00CA34E0" w:rsidRPr="00684615" w:rsidRDefault="00CA34E0" w:rsidP="001D220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公司第</w:t>
            </w:r>
            <w:r w:rsidR="001D220B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一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会议室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上市公司接待人员姓名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秘书张德申先生</w:t>
            </w:r>
          </w:p>
        </w:tc>
      </w:tr>
      <w:tr w:rsidR="00CA34E0" w:rsidRPr="00684615" w:rsidTr="00A742AC">
        <w:tc>
          <w:tcPr>
            <w:tcW w:w="3119" w:type="dxa"/>
            <w:vAlign w:val="center"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</w:tc>
        <w:tc>
          <w:tcPr>
            <w:tcW w:w="5954" w:type="dxa"/>
            <w:hideMark/>
          </w:tcPr>
          <w:p w:rsidR="00CA34E0" w:rsidRPr="0092182D" w:rsidRDefault="00CA34E0" w:rsidP="00A742AC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 w:rsidRPr="0092182D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详见附件</w:t>
            </w:r>
          </w:p>
        </w:tc>
      </w:tr>
      <w:tr w:rsidR="00CA34E0" w:rsidRPr="00684615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以往机构调研中公司回答过的问题，本次活动披露附件中未做重复介绍；公司接待人员与投资者交流过程中，严格遵守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有关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规章制度，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未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泄露公司尚未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公开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的重大信息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</w:tc>
      </w:tr>
    </w:tbl>
    <w:p w:rsidR="00CA34E0" w:rsidRDefault="00CA34E0" w:rsidP="00CA34E0">
      <w:pPr>
        <w:spacing w:line="460" w:lineRule="exact"/>
        <w:ind w:firstLineChars="200" w:firstLine="420"/>
        <w:rPr>
          <w:rFonts w:ascii="宋体" w:hAnsi="宋体"/>
          <w:bCs/>
          <w:iCs/>
          <w:color w:val="000000"/>
          <w:kern w:val="0"/>
          <w:szCs w:val="21"/>
        </w:rPr>
      </w:pPr>
    </w:p>
    <w:p w:rsidR="00CA34E0" w:rsidRPr="007766AF" w:rsidRDefault="00CA34E0" w:rsidP="00CA34E0">
      <w:pPr>
        <w:spacing w:after="240" w:line="420" w:lineRule="exact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t>附件：投资者关系活动主要内容介绍</w:t>
      </w: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5F4054">
        <w:rPr>
          <w:rFonts w:hint="eastAsia"/>
          <w:b/>
          <w:sz w:val="24"/>
        </w:rPr>
        <w:t>如果</w:t>
      </w:r>
      <w:r>
        <w:rPr>
          <w:rFonts w:hint="eastAsia"/>
          <w:b/>
          <w:sz w:val="24"/>
        </w:rPr>
        <w:t>金赛药业新三板</w:t>
      </w:r>
      <w:r w:rsidR="005F4054">
        <w:rPr>
          <w:rFonts w:hint="eastAsia"/>
          <w:b/>
          <w:sz w:val="24"/>
        </w:rPr>
        <w:t>挂牌后，公司</w:t>
      </w:r>
      <w:r w:rsidR="001D220B">
        <w:rPr>
          <w:rFonts w:hint="eastAsia"/>
          <w:b/>
          <w:sz w:val="24"/>
        </w:rPr>
        <w:t>持有金赛药业的</w:t>
      </w:r>
      <w:r w:rsidR="005F4054">
        <w:rPr>
          <w:rFonts w:hint="eastAsia"/>
          <w:b/>
          <w:sz w:val="24"/>
        </w:rPr>
        <w:t>股权有何安排</w:t>
      </w:r>
      <w:r>
        <w:rPr>
          <w:rFonts w:hint="eastAsia"/>
          <w:b/>
          <w:sz w:val="24"/>
        </w:rPr>
        <w:t>？</w:t>
      </w:r>
    </w:p>
    <w:p w:rsidR="001237C1" w:rsidRDefault="00CA34E0" w:rsidP="00CA34E0">
      <w:pPr>
        <w:spacing w:line="360" w:lineRule="auto"/>
        <w:ind w:firstLineChars="200" w:firstLine="480"/>
        <w:rPr>
          <w:b/>
          <w:sz w:val="24"/>
        </w:rPr>
      </w:pPr>
      <w:r w:rsidRPr="0072270E">
        <w:rPr>
          <w:rFonts w:hint="eastAsia"/>
          <w:sz w:val="24"/>
        </w:rPr>
        <w:t>答：</w:t>
      </w:r>
      <w:r w:rsidR="001D220B">
        <w:rPr>
          <w:rFonts w:ascii="宋体" w:hAnsi="宋体" w:hint="eastAsia"/>
          <w:sz w:val="24"/>
        </w:rPr>
        <w:t>如果金赛药业成功挂牌新三板，</w:t>
      </w:r>
      <w:r w:rsidR="001237C1">
        <w:rPr>
          <w:rFonts w:ascii="宋体" w:hAnsi="宋体" w:hint="eastAsia"/>
          <w:sz w:val="24"/>
        </w:rPr>
        <w:t>公司</w:t>
      </w:r>
      <w:r w:rsidR="0083535C">
        <w:rPr>
          <w:rFonts w:ascii="宋体" w:hAnsi="宋体" w:hint="eastAsia"/>
          <w:sz w:val="24"/>
        </w:rPr>
        <w:t>对金赛药业的控股</w:t>
      </w:r>
      <w:r w:rsidR="002109A2">
        <w:rPr>
          <w:rFonts w:ascii="宋体" w:hAnsi="宋体" w:hint="eastAsia"/>
          <w:sz w:val="24"/>
        </w:rPr>
        <w:t>、</w:t>
      </w:r>
      <w:r w:rsidR="001237C1">
        <w:rPr>
          <w:rFonts w:ascii="宋体" w:hAnsi="宋体" w:hint="eastAsia"/>
          <w:sz w:val="24"/>
        </w:rPr>
        <w:t>控制地位不会</w:t>
      </w:r>
      <w:r w:rsidR="0083535C">
        <w:rPr>
          <w:rFonts w:ascii="宋体" w:hAnsi="宋体" w:hint="eastAsia"/>
          <w:sz w:val="24"/>
        </w:rPr>
        <w:t>弱化</w:t>
      </w:r>
      <w:r w:rsidR="005F4054">
        <w:rPr>
          <w:rFonts w:ascii="宋体" w:hAnsi="宋体" w:hint="eastAsia"/>
          <w:sz w:val="24"/>
        </w:rPr>
        <w:t>，公司不会减持股份。</w:t>
      </w:r>
    </w:p>
    <w:p w:rsidR="0083535C" w:rsidRDefault="0083535C" w:rsidP="00CA34E0">
      <w:pPr>
        <w:spacing w:line="360" w:lineRule="auto"/>
        <w:ind w:firstLineChars="200" w:firstLine="482"/>
        <w:rPr>
          <w:b/>
          <w:sz w:val="24"/>
        </w:rPr>
      </w:pP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问：公司</w:t>
      </w:r>
      <w:r w:rsidR="0083535C">
        <w:rPr>
          <w:rFonts w:ascii="宋体" w:hAnsi="宋体" w:hint="eastAsia"/>
          <w:b/>
          <w:sz w:val="24"/>
        </w:rPr>
        <w:t>对子公司的生产经营</w:t>
      </w:r>
      <w:r w:rsidR="005F4054">
        <w:rPr>
          <w:rFonts w:ascii="宋体" w:hAnsi="宋体" w:hint="eastAsia"/>
          <w:b/>
          <w:sz w:val="24"/>
        </w:rPr>
        <w:t>如何管理</w:t>
      </w:r>
      <w:r w:rsidR="0083535C">
        <w:rPr>
          <w:rFonts w:ascii="宋体" w:hAnsi="宋体" w:hint="eastAsia"/>
          <w:b/>
          <w:sz w:val="24"/>
        </w:rPr>
        <w:t>？对</w:t>
      </w:r>
      <w:r w:rsidR="0083535C">
        <w:rPr>
          <w:rFonts w:hint="eastAsia"/>
          <w:b/>
          <w:sz w:val="24"/>
        </w:rPr>
        <w:t>金赛药业明年业绩有何看法</w:t>
      </w:r>
      <w:r>
        <w:rPr>
          <w:rFonts w:ascii="宋体" w:hAnsi="宋体"/>
          <w:b/>
          <w:sz w:val="24"/>
        </w:rPr>
        <w:t>？</w:t>
      </w:r>
      <w:r w:rsidR="0083535C">
        <w:rPr>
          <w:b/>
          <w:sz w:val="24"/>
        </w:rPr>
        <w:t xml:space="preserve"> </w:t>
      </w:r>
    </w:p>
    <w:p w:rsidR="0083535C" w:rsidRDefault="00CA34E0" w:rsidP="00CA34E0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 w:rsidR="0083535C">
        <w:rPr>
          <w:rFonts w:hint="eastAsia"/>
          <w:sz w:val="24"/>
        </w:rPr>
        <w:t>公司</w:t>
      </w:r>
      <w:r w:rsidR="005F4054">
        <w:rPr>
          <w:rFonts w:hint="eastAsia"/>
          <w:sz w:val="24"/>
        </w:rPr>
        <w:t>原则上</w:t>
      </w:r>
      <w:r w:rsidR="0083535C">
        <w:rPr>
          <w:rFonts w:hint="eastAsia"/>
          <w:sz w:val="24"/>
        </w:rPr>
        <w:t>对子公司的</w:t>
      </w:r>
      <w:r w:rsidR="002109A2">
        <w:rPr>
          <w:rFonts w:hint="eastAsia"/>
          <w:sz w:val="24"/>
        </w:rPr>
        <w:t>生产</w:t>
      </w:r>
      <w:r w:rsidR="0083535C">
        <w:rPr>
          <w:rFonts w:hint="eastAsia"/>
          <w:sz w:val="24"/>
        </w:rPr>
        <w:t>经营不进行过多干涉。各子公司会向公司提交</w:t>
      </w:r>
      <w:r w:rsidR="001D220B">
        <w:rPr>
          <w:rFonts w:hint="eastAsia"/>
          <w:sz w:val="24"/>
        </w:rPr>
        <w:t>年度</w:t>
      </w:r>
      <w:r w:rsidR="0083535C">
        <w:rPr>
          <w:rFonts w:hint="eastAsia"/>
          <w:sz w:val="24"/>
        </w:rPr>
        <w:t>生产经营计划，公司经营管理部会根据各子公司历年经营情况、产品潜力及市场情况进行综</w:t>
      </w:r>
      <w:r w:rsidR="005F4054">
        <w:rPr>
          <w:rFonts w:hint="eastAsia"/>
          <w:sz w:val="24"/>
        </w:rPr>
        <w:t>合分析和判断，几经研究最终形成符合其自身发展情况的生产经营计划，提交子公司董事会审议确定。</w:t>
      </w:r>
    </w:p>
    <w:p w:rsidR="00CA34E0" w:rsidRDefault="0083535C" w:rsidP="00CA34E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根据金赛药业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年的整体经营业绩增长情况，预计在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年的增</w:t>
      </w:r>
      <w:r w:rsidR="005F4054">
        <w:rPr>
          <w:rFonts w:hint="eastAsia"/>
          <w:sz w:val="24"/>
        </w:rPr>
        <w:t>幅</w:t>
      </w:r>
      <w:r>
        <w:rPr>
          <w:rFonts w:hint="eastAsia"/>
          <w:sz w:val="24"/>
        </w:rPr>
        <w:t>不会低于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年。</w:t>
      </w:r>
    </w:p>
    <w:p w:rsidR="0083535C" w:rsidRDefault="0083535C" w:rsidP="00CA34E0">
      <w:pPr>
        <w:spacing w:line="360" w:lineRule="auto"/>
        <w:ind w:firstLineChars="200" w:firstLine="482"/>
        <w:rPr>
          <w:b/>
          <w:sz w:val="24"/>
        </w:rPr>
      </w:pPr>
    </w:p>
    <w:p w:rsidR="00CA34E0" w:rsidRPr="007766AF" w:rsidRDefault="00CA34E0" w:rsidP="00CA34E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t>问</w:t>
      </w:r>
      <w:r w:rsidRPr="007766AF">
        <w:rPr>
          <w:rFonts w:ascii="宋体" w:hAnsi="宋体"/>
          <w:b/>
          <w:sz w:val="24"/>
        </w:rPr>
        <w:t>：</w:t>
      </w:r>
      <w:r w:rsidR="0083535C">
        <w:rPr>
          <w:rFonts w:ascii="宋体" w:hAnsi="宋体" w:hint="eastAsia"/>
          <w:b/>
          <w:sz w:val="24"/>
        </w:rPr>
        <w:t>公司</w:t>
      </w:r>
      <w:r>
        <w:rPr>
          <w:rFonts w:ascii="宋体" w:hAnsi="宋体" w:hint="eastAsia"/>
          <w:b/>
          <w:sz w:val="24"/>
        </w:rPr>
        <w:t>促卵泡激素的</w:t>
      </w:r>
      <w:r w:rsidR="0083535C">
        <w:rPr>
          <w:rFonts w:ascii="宋体" w:hAnsi="宋体" w:hint="eastAsia"/>
          <w:b/>
          <w:sz w:val="24"/>
        </w:rPr>
        <w:t>竞争</w:t>
      </w:r>
      <w:r>
        <w:rPr>
          <w:rFonts w:ascii="宋体" w:hAnsi="宋体" w:hint="eastAsia"/>
          <w:b/>
          <w:sz w:val="24"/>
        </w:rPr>
        <w:t>优势是什么？</w:t>
      </w:r>
    </w:p>
    <w:p w:rsidR="00CA34E0" w:rsidRPr="007766AF" w:rsidRDefault="00CA34E0" w:rsidP="00CA34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766AF">
        <w:rPr>
          <w:rFonts w:ascii="宋体" w:hAnsi="宋体" w:hint="eastAsia"/>
          <w:sz w:val="24"/>
        </w:rPr>
        <w:lastRenderedPageBreak/>
        <w:t>答</w:t>
      </w:r>
      <w:r w:rsidRPr="007766AF">
        <w:rPr>
          <w:rFonts w:ascii="宋体" w:hAnsi="宋体"/>
          <w:sz w:val="24"/>
        </w:rPr>
        <w:t>：</w:t>
      </w:r>
      <w:r>
        <w:rPr>
          <w:rFonts w:ascii="宋体" w:hAnsi="宋体"/>
          <w:sz w:val="24"/>
        </w:rPr>
        <w:t>促卵泡激素采用的技术与进口产品</w:t>
      </w:r>
      <w:r>
        <w:rPr>
          <w:rFonts w:ascii="宋体" w:hAnsi="宋体" w:hint="eastAsia"/>
          <w:sz w:val="24"/>
        </w:rPr>
        <w:t>相同，但</w:t>
      </w:r>
      <w:r>
        <w:rPr>
          <w:rFonts w:ascii="宋体" w:hAnsi="宋体"/>
          <w:sz w:val="24"/>
        </w:rPr>
        <w:t>价格比进口产品</w:t>
      </w:r>
      <w:r>
        <w:rPr>
          <w:rFonts w:ascii="宋体" w:hAnsi="宋体" w:hint="eastAsia"/>
          <w:sz w:val="24"/>
        </w:rPr>
        <w:t>略</w:t>
      </w:r>
      <w:r>
        <w:rPr>
          <w:rFonts w:ascii="宋体" w:hAnsi="宋体"/>
          <w:sz w:val="24"/>
        </w:rPr>
        <w:t>低，</w:t>
      </w:r>
      <w:r>
        <w:rPr>
          <w:rFonts w:ascii="宋体" w:hAnsi="宋体" w:hint="eastAsia"/>
          <w:sz w:val="24"/>
        </w:rPr>
        <w:t>存在技术优势和价格优势</w:t>
      </w:r>
      <w:r>
        <w:rPr>
          <w:rFonts w:ascii="宋体" w:hAnsi="宋体"/>
          <w:sz w:val="24"/>
        </w:rPr>
        <w:t>。</w:t>
      </w: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问：金赛药业</w:t>
      </w:r>
      <w:r w:rsidR="0083535C">
        <w:rPr>
          <w:rFonts w:hint="eastAsia"/>
          <w:b/>
          <w:sz w:val="24"/>
        </w:rPr>
        <w:t>研发投入主要集中在哪方面</w:t>
      </w:r>
      <w:r>
        <w:rPr>
          <w:rFonts w:hint="eastAsia"/>
          <w:b/>
          <w:sz w:val="24"/>
        </w:rPr>
        <w:t>？</w:t>
      </w:r>
    </w:p>
    <w:p w:rsidR="00CA34E0" w:rsidRDefault="00CA34E0" w:rsidP="00CA34E0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</w:t>
      </w:r>
      <w:r w:rsidRPr="0083535C">
        <w:rPr>
          <w:rFonts w:hint="eastAsia"/>
          <w:sz w:val="24"/>
        </w:rPr>
        <w:t>：</w:t>
      </w:r>
      <w:r w:rsidR="0083535C" w:rsidRPr="0083535C">
        <w:rPr>
          <w:rFonts w:hint="eastAsia"/>
          <w:sz w:val="24"/>
        </w:rPr>
        <w:t>金赛药业研发费用投入</w:t>
      </w:r>
      <w:r w:rsidR="005F4054">
        <w:rPr>
          <w:rFonts w:hint="eastAsia"/>
          <w:sz w:val="24"/>
        </w:rPr>
        <w:t>将重点</w:t>
      </w:r>
      <w:r w:rsidR="0083535C" w:rsidRPr="0083535C">
        <w:rPr>
          <w:rFonts w:hint="eastAsia"/>
          <w:sz w:val="24"/>
        </w:rPr>
        <w:t>围绕儿童生长发育和辅助生殖</w:t>
      </w:r>
      <w:r w:rsidR="005F4054">
        <w:rPr>
          <w:rFonts w:hint="eastAsia"/>
          <w:sz w:val="24"/>
        </w:rPr>
        <w:t>等</w:t>
      </w:r>
      <w:r w:rsidR="0083535C" w:rsidRPr="0083535C">
        <w:rPr>
          <w:rFonts w:hint="eastAsia"/>
          <w:sz w:val="24"/>
        </w:rPr>
        <w:t>领域进行新药研发、工艺改进。</w:t>
      </w: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83535C">
        <w:rPr>
          <w:rFonts w:hint="eastAsia"/>
          <w:b/>
          <w:sz w:val="24"/>
        </w:rPr>
        <w:t>百克生物</w:t>
      </w:r>
      <w:r>
        <w:rPr>
          <w:rFonts w:hint="eastAsia"/>
          <w:b/>
          <w:sz w:val="24"/>
        </w:rPr>
        <w:t>疫苗</w:t>
      </w:r>
      <w:r w:rsidR="0083535C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研发进展如何？</w:t>
      </w:r>
    </w:p>
    <w:p w:rsidR="0083535C" w:rsidRDefault="00CA34E0" w:rsidP="00CA34E0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 w:rsidR="0083535C" w:rsidRPr="0083535C">
        <w:rPr>
          <w:rFonts w:hint="eastAsia"/>
          <w:sz w:val="24"/>
        </w:rPr>
        <w:t>鼻喷流感疫苗</w:t>
      </w:r>
      <w:r>
        <w:rPr>
          <w:rFonts w:hint="eastAsia"/>
          <w:sz w:val="24"/>
        </w:rPr>
        <w:t>目前在</w:t>
      </w:r>
      <w:r w:rsidR="001D799B">
        <w:rPr>
          <w:rFonts w:hint="eastAsia"/>
          <w:sz w:val="24"/>
        </w:rPr>
        <w:t>按计划</w:t>
      </w:r>
      <w:r>
        <w:rPr>
          <w:rFonts w:hint="eastAsia"/>
          <w:sz w:val="24"/>
        </w:rPr>
        <w:t>进行</w:t>
      </w:r>
      <w:r w:rsidR="0083535C">
        <w:rPr>
          <w:rFonts w:hint="eastAsia"/>
          <w:sz w:val="24"/>
        </w:rPr>
        <w:t>Ⅲ期</w:t>
      </w:r>
      <w:r>
        <w:rPr>
          <w:rFonts w:hint="eastAsia"/>
          <w:sz w:val="24"/>
        </w:rPr>
        <w:t>临床试验，争取在</w:t>
      </w:r>
      <w:r w:rsidR="0083535C">
        <w:rPr>
          <w:rFonts w:hint="eastAsia"/>
          <w:sz w:val="24"/>
        </w:rPr>
        <w:t>2</w:t>
      </w:r>
      <w:r w:rsidR="0083535C">
        <w:rPr>
          <w:sz w:val="24"/>
        </w:rPr>
        <w:t>017</w:t>
      </w:r>
      <w:r w:rsidR="0083535C">
        <w:rPr>
          <w:rFonts w:hint="eastAsia"/>
          <w:sz w:val="24"/>
        </w:rPr>
        <w:t>年</w:t>
      </w:r>
      <w:r>
        <w:rPr>
          <w:rFonts w:hint="eastAsia"/>
          <w:sz w:val="24"/>
        </w:rPr>
        <w:t>上半年之前做完临床，随后进行系统的临床总结，</w:t>
      </w:r>
      <w:r w:rsidR="005F4054">
        <w:rPr>
          <w:rFonts w:hint="eastAsia"/>
          <w:sz w:val="24"/>
        </w:rPr>
        <w:t>进行申报</w:t>
      </w:r>
      <w:r>
        <w:rPr>
          <w:rFonts w:hint="eastAsia"/>
          <w:sz w:val="24"/>
        </w:rPr>
        <w:t>，进入审批程序。初步预计在</w:t>
      </w:r>
      <w:r>
        <w:rPr>
          <w:rFonts w:hint="eastAsia"/>
          <w:sz w:val="24"/>
        </w:rPr>
        <w:t>201</w:t>
      </w:r>
      <w:r>
        <w:rPr>
          <w:sz w:val="24"/>
        </w:rPr>
        <w:t>8</w:t>
      </w:r>
      <w:r>
        <w:rPr>
          <w:rFonts w:hint="eastAsia"/>
          <w:sz w:val="24"/>
        </w:rPr>
        <w:t>年上市。</w:t>
      </w:r>
      <w:r w:rsidR="0083535C">
        <w:rPr>
          <w:rFonts w:hint="eastAsia"/>
          <w:sz w:val="24"/>
        </w:rPr>
        <w:t>冻干狂犬疫苗、新毒株狂犬疫苗及其他产品也都会陆续申报。</w:t>
      </w:r>
    </w:p>
    <w:p w:rsidR="0083535C" w:rsidRDefault="0083535C" w:rsidP="0083535C">
      <w:pPr>
        <w:spacing w:line="360" w:lineRule="auto"/>
        <w:ind w:firstLineChars="200" w:firstLine="482"/>
        <w:rPr>
          <w:b/>
          <w:sz w:val="24"/>
        </w:rPr>
      </w:pPr>
    </w:p>
    <w:p w:rsidR="0083535C" w:rsidRDefault="0083535C" w:rsidP="0083535C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问：对公司地产</w:t>
      </w:r>
      <w:r w:rsidR="001D799B">
        <w:rPr>
          <w:rFonts w:hint="eastAsia"/>
          <w:b/>
          <w:sz w:val="24"/>
        </w:rPr>
        <w:t>板块</w:t>
      </w:r>
      <w:r>
        <w:rPr>
          <w:rFonts w:hint="eastAsia"/>
          <w:b/>
          <w:sz w:val="24"/>
        </w:rPr>
        <w:t>有何想法？</w:t>
      </w:r>
    </w:p>
    <w:p w:rsidR="0083535C" w:rsidRDefault="0083535C" w:rsidP="00CA34E0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>
        <w:rPr>
          <w:rFonts w:hint="eastAsia"/>
          <w:sz w:val="24"/>
        </w:rPr>
        <w:t>公司地产板块在长春新区具有得天独厚的优势，地产板块是公司重要</w:t>
      </w:r>
      <w:r w:rsidR="005F4054">
        <w:rPr>
          <w:rFonts w:hint="eastAsia"/>
          <w:sz w:val="24"/>
        </w:rPr>
        <w:t>的现金流和</w:t>
      </w:r>
      <w:r>
        <w:rPr>
          <w:rFonts w:hint="eastAsia"/>
          <w:sz w:val="24"/>
        </w:rPr>
        <w:t>利润贡献点，</w:t>
      </w:r>
      <w:r w:rsidR="001D220B">
        <w:rPr>
          <w:rFonts w:hint="eastAsia"/>
          <w:sz w:val="24"/>
        </w:rPr>
        <w:t>在未来几年，</w:t>
      </w:r>
      <w:r>
        <w:rPr>
          <w:rFonts w:hint="eastAsia"/>
          <w:sz w:val="24"/>
        </w:rPr>
        <w:t>公司不会放弃地产</w:t>
      </w:r>
      <w:r w:rsidR="005F4054">
        <w:rPr>
          <w:rFonts w:hint="eastAsia"/>
          <w:sz w:val="24"/>
        </w:rPr>
        <w:t>板块</w:t>
      </w:r>
      <w:r>
        <w:rPr>
          <w:rFonts w:hint="eastAsia"/>
          <w:sz w:val="24"/>
        </w:rPr>
        <w:t>。</w:t>
      </w:r>
      <w:bookmarkStart w:id="0" w:name="_GoBack"/>
      <w:bookmarkEnd w:id="0"/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</w:p>
    <w:p w:rsidR="00CA34E0" w:rsidRPr="009D58DE" w:rsidRDefault="00CA34E0" w:rsidP="00CA34E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3D541A" w:rsidRPr="00CA34E0" w:rsidRDefault="003D541A"/>
    <w:sectPr w:rsidR="003D541A" w:rsidRPr="00CA34E0" w:rsidSect="00A742AC">
      <w:pgSz w:w="11906" w:h="16838"/>
      <w:pgMar w:top="156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EE" w:rsidRDefault="00B81DEE" w:rsidP="00CA34E0">
      <w:r>
        <w:separator/>
      </w:r>
    </w:p>
  </w:endnote>
  <w:endnote w:type="continuationSeparator" w:id="0">
    <w:p w:rsidR="00B81DEE" w:rsidRDefault="00B81DEE" w:rsidP="00CA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EE" w:rsidRDefault="00B81DEE" w:rsidP="00CA34E0">
      <w:r>
        <w:separator/>
      </w:r>
    </w:p>
  </w:footnote>
  <w:footnote w:type="continuationSeparator" w:id="0">
    <w:p w:rsidR="00B81DEE" w:rsidRDefault="00B81DEE" w:rsidP="00CA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A"/>
    <w:rsid w:val="00007AD6"/>
    <w:rsid w:val="0002018E"/>
    <w:rsid w:val="000227B6"/>
    <w:rsid w:val="00051220"/>
    <w:rsid w:val="000739C1"/>
    <w:rsid w:val="0007435C"/>
    <w:rsid w:val="00076D58"/>
    <w:rsid w:val="000F1A9A"/>
    <w:rsid w:val="00112DED"/>
    <w:rsid w:val="001237C1"/>
    <w:rsid w:val="00124CA5"/>
    <w:rsid w:val="001C46B6"/>
    <w:rsid w:val="001D0D80"/>
    <w:rsid w:val="001D220B"/>
    <w:rsid w:val="001D4154"/>
    <w:rsid w:val="001D799B"/>
    <w:rsid w:val="002109A2"/>
    <w:rsid w:val="00225CF4"/>
    <w:rsid w:val="00232D25"/>
    <w:rsid w:val="0023413F"/>
    <w:rsid w:val="00241225"/>
    <w:rsid w:val="002710EF"/>
    <w:rsid w:val="00295718"/>
    <w:rsid w:val="00297D73"/>
    <w:rsid w:val="002A3903"/>
    <w:rsid w:val="002B2E5C"/>
    <w:rsid w:val="002D553F"/>
    <w:rsid w:val="00305E69"/>
    <w:rsid w:val="0031507A"/>
    <w:rsid w:val="003716CD"/>
    <w:rsid w:val="003C1707"/>
    <w:rsid w:val="003D541A"/>
    <w:rsid w:val="00421A1B"/>
    <w:rsid w:val="00454A54"/>
    <w:rsid w:val="004634DF"/>
    <w:rsid w:val="004811A0"/>
    <w:rsid w:val="00494F21"/>
    <w:rsid w:val="004D5FED"/>
    <w:rsid w:val="004F0529"/>
    <w:rsid w:val="004F16B8"/>
    <w:rsid w:val="00501B25"/>
    <w:rsid w:val="005712CD"/>
    <w:rsid w:val="005B4873"/>
    <w:rsid w:val="005F4054"/>
    <w:rsid w:val="00602548"/>
    <w:rsid w:val="006506FC"/>
    <w:rsid w:val="0066740D"/>
    <w:rsid w:val="007201BB"/>
    <w:rsid w:val="007309ED"/>
    <w:rsid w:val="007C58B4"/>
    <w:rsid w:val="007F5DBC"/>
    <w:rsid w:val="007F7422"/>
    <w:rsid w:val="008141A1"/>
    <w:rsid w:val="00814A1F"/>
    <w:rsid w:val="0083535C"/>
    <w:rsid w:val="008F6904"/>
    <w:rsid w:val="00920D9B"/>
    <w:rsid w:val="00921255"/>
    <w:rsid w:val="00956B97"/>
    <w:rsid w:val="00970384"/>
    <w:rsid w:val="00974952"/>
    <w:rsid w:val="009D0F2A"/>
    <w:rsid w:val="00A023B0"/>
    <w:rsid w:val="00A742AC"/>
    <w:rsid w:val="00A802D8"/>
    <w:rsid w:val="00A81C56"/>
    <w:rsid w:val="00AE10D7"/>
    <w:rsid w:val="00AF2229"/>
    <w:rsid w:val="00B14243"/>
    <w:rsid w:val="00B241BD"/>
    <w:rsid w:val="00B31466"/>
    <w:rsid w:val="00B81DEE"/>
    <w:rsid w:val="00BA7B5D"/>
    <w:rsid w:val="00BD763C"/>
    <w:rsid w:val="00C14D73"/>
    <w:rsid w:val="00C62280"/>
    <w:rsid w:val="00CA34E0"/>
    <w:rsid w:val="00CA6739"/>
    <w:rsid w:val="00CA6EFD"/>
    <w:rsid w:val="00CC7105"/>
    <w:rsid w:val="00D46E01"/>
    <w:rsid w:val="00DD4A59"/>
    <w:rsid w:val="00E237CB"/>
    <w:rsid w:val="00E35461"/>
    <w:rsid w:val="00E40205"/>
    <w:rsid w:val="00E55F97"/>
    <w:rsid w:val="00E668A5"/>
    <w:rsid w:val="00E73113"/>
    <w:rsid w:val="00EB11D8"/>
    <w:rsid w:val="00ED536C"/>
    <w:rsid w:val="00ED6BE3"/>
    <w:rsid w:val="00EF20DA"/>
    <w:rsid w:val="00EF7126"/>
    <w:rsid w:val="00F55D7B"/>
    <w:rsid w:val="00F71647"/>
    <w:rsid w:val="00F724CB"/>
    <w:rsid w:val="00F91EF3"/>
    <w:rsid w:val="00FC4DE2"/>
    <w:rsid w:val="00FD5827"/>
    <w:rsid w:val="00FE55EA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CFA6"/>
  <w15:chartTrackingRefBased/>
  <w15:docId w15:val="{6FA81A8A-9C89-45B6-812D-2B41F32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5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4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6E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6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李季</dc:creator>
  <cp:keywords/>
  <dc:description/>
  <cp:lastModifiedBy>李季</cp:lastModifiedBy>
  <cp:revision>12</cp:revision>
  <cp:lastPrinted>2016-12-15T02:59:00Z</cp:lastPrinted>
  <dcterms:created xsi:type="dcterms:W3CDTF">2016-12-14T05:15:00Z</dcterms:created>
  <dcterms:modified xsi:type="dcterms:W3CDTF">2016-12-15T05:22:00Z</dcterms:modified>
</cp:coreProperties>
</file>