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A0" w:rsidRPr="008E3F3F" w:rsidRDefault="007C06A0" w:rsidP="003F6274">
      <w:pPr>
        <w:spacing w:beforeLines="50" w:afterLines="50"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sidR="00700103">
        <w:rPr>
          <w:rFonts w:ascii="宋体" w:hAnsi="宋体" w:hint="eastAsia"/>
          <w:bCs/>
          <w:iCs/>
          <w:color w:val="000000"/>
          <w:sz w:val="24"/>
        </w:rPr>
        <w:t>002829</w:t>
      </w:r>
      <w:r w:rsidRPr="00A94694">
        <w:rPr>
          <w:rFonts w:ascii="宋体" w:hAnsi="宋体" w:hint="eastAsia"/>
          <w:bCs/>
          <w:iCs/>
          <w:color w:val="000000"/>
          <w:sz w:val="24"/>
        </w:rPr>
        <w:t xml:space="preserve">                     证券简称：</w:t>
      </w:r>
      <w:r w:rsidR="00700103">
        <w:rPr>
          <w:rFonts w:ascii="宋体" w:hAnsi="宋体" w:hint="eastAsia"/>
          <w:bCs/>
          <w:iCs/>
          <w:color w:val="000000"/>
          <w:sz w:val="24"/>
        </w:rPr>
        <w:t>星网宇达</w:t>
      </w:r>
    </w:p>
    <w:p w:rsidR="00B712DF" w:rsidRDefault="00F4291E" w:rsidP="003F6274">
      <w:pPr>
        <w:spacing w:beforeLines="50" w:afterLines="50" w:line="400" w:lineRule="exact"/>
        <w:jc w:val="center"/>
        <w:rPr>
          <w:rFonts w:ascii="宋体" w:hAnsi="宋体"/>
          <w:b/>
          <w:bCs/>
          <w:iCs/>
          <w:color w:val="000000"/>
          <w:sz w:val="32"/>
          <w:szCs w:val="32"/>
        </w:rPr>
      </w:pPr>
      <w:r w:rsidRPr="00F4291E">
        <w:rPr>
          <w:rFonts w:ascii="宋体" w:hAnsi="宋体" w:hint="eastAsia"/>
          <w:b/>
          <w:bCs/>
          <w:iCs/>
          <w:color w:val="000000"/>
          <w:sz w:val="32"/>
          <w:szCs w:val="32"/>
        </w:rPr>
        <w:t>北京星网宇达科技股份有限公司</w:t>
      </w:r>
      <w:r w:rsidR="00B712DF" w:rsidRPr="0053527F">
        <w:rPr>
          <w:rFonts w:ascii="宋体" w:hAnsi="宋体" w:hint="eastAsia"/>
          <w:b/>
          <w:bCs/>
          <w:iCs/>
          <w:color w:val="000000"/>
          <w:sz w:val="32"/>
          <w:szCs w:val="32"/>
        </w:rPr>
        <w:t>投资者关系</w:t>
      </w:r>
      <w:r w:rsidR="00B712DF" w:rsidRPr="00A94694">
        <w:rPr>
          <w:rFonts w:ascii="宋体" w:hAnsi="宋体" w:hint="eastAsia"/>
          <w:b/>
          <w:bCs/>
          <w:iCs/>
          <w:color w:val="000000"/>
          <w:sz w:val="32"/>
          <w:szCs w:val="32"/>
        </w:rPr>
        <w:t>活动记录表</w:t>
      </w:r>
    </w:p>
    <w:p w:rsidR="00236B79" w:rsidRPr="00A94694" w:rsidRDefault="00B712DF" w:rsidP="00B712DF">
      <w:pPr>
        <w:spacing w:line="400" w:lineRule="exact"/>
        <w:rPr>
          <w:rFonts w:ascii="宋体" w:hAnsi="宋体"/>
          <w:bCs/>
          <w:iCs/>
          <w:color w:val="000000"/>
          <w:sz w:val="24"/>
        </w:rPr>
      </w:pPr>
      <w:r w:rsidRPr="00534134">
        <w:rPr>
          <w:rFonts w:ascii="宋体" w:hAnsi="宋体" w:hint="eastAsia"/>
          <w:bCs/>
          <w:iCs/>
          <w:color w:val="000000"/>
          <w:sz w:val="24"/>
        </w:rPr>
        <w:t>编号：</w:t>
      </w:r>
      <w:r w:rsidR="00EF6E76" w:rsidRPr="00534134">
        <w:rPr>
          <w:rFonts w:ascii="宋体" w:hAnsi="宋体" w:hint="eastAsia"/>
          <w:bCs/>
          <w:iCs/>
          <w:color w:val="000000"/>
          <w:sz w:val="24"/>
        </w:rPr>
        <w:t>2</w:t>
      </w:r>
      <w:r w:rsidR="004C0C7F">
        <w:rPr>
          <w:rFonts w:ascii="宋体" w:hAnsi="宋体" w:hint="eastAsia"/>
          <w:bCs/>
          <w:iCs/>
          <w:color w:val="000000"/>
          <w:sz w:val="24"/>
        </w:rPr>
        <w:t>01</w:t>
      </w:r>
      <w:r w:rsidR="00700103">
        <w:rPr>
          <w:rFonts w:ascii="宋体" w:hAnsi="宋体" w:hint="eastAsia"/>
          <w:bCs/>
          <w:iCs/>
          <w:color w:val="000000"/>
          <w:sz w:val="24"/>
        </w:rPr>
        <w:t>7</w:t>
      </w:r>
      <w:r w:rsidR="004C0C7F">
        <w:rPr>
          <w:rFonts w:ascii="宋体" w:hAnsi="宋体" w:hint="eastAsia"/>
          <w:bCs/>
          <w:iCs/>
          <w:color w:val="000000"/>
          <w:sz w:val="24"/>
        </w:rPr>
        <w:t>-00</w:t>
      </w:r>
      <w:r w:rsidR="000503F8">
        <w:rPr>
          <w:rFonts w:ascii="宋体" w:hAnsi="宋体"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投资者关系活动类别</w:t>
            </w:r>
          </w:p>
          <w:p w:rsidR="00B712DF" w:rsidRPr="00CF418B" w:rsidRDefault="00B712DF" w:rsidP="00923609">
            <w:pPr>
              <w:spacing w:line="480" w:lineRule="atLeast"/>
              <w:rPr>
                <w:rFonts w:ascii="宋体" w:hAnsi="宋体"/>
                <w:b/>
                <w:bCs/>
                <w:iCs/>
                <w:color w:val="000000"/>
                <w:sz w:val="24"/>
              </w:rPr>
            </w:pPr>
          </w:p>
        </w:tc>
        <w:tc>
          <w:tcPr>
            <w:tcW w:w="6614" w:type="dxa"/>
          </w:tcPr>
          <w:p w:rsidR="00B712DF" w:rsidRPr="00CF418B" w:rsidRDefault="00183E2C" w:rsidP="00923609">
            <w:pPr>
              <w:spacing w:line="480" w:lineRule="atLeast"/>
              <w:rPr>
                <w:rFonts w:ascii="宋体" w:hAnsi="宋体"/>
                <w:bCs/>
                <w:iCs/>
                <w:color w:val="000000"/>
                <w:sz w:val="24"/>
              </w:rPr>
            </w:pPr>
            <w:r w:rsidRPr="00183E2C">
              <w:rPr>
                <w:rFonts w:ascii="Wingdings 2" w:hAnsi="Wingdings 2"/>
                <w:bCs/>
                <w:iCs/>
                <w:color w:val="000000"/>
                <w:sz w:val="24"/>
              </w:rPr>
              <w:t></w:t>
            </w:r>
            <w:r w:rsidR="00B712DF" w:rsidRPr="00183E2C">
              <w:rPr>
                <w:rFonts w:ascii="宋体" w:hAnsi="宋体" w:hint="eastAsia"/>
                <w:bCs/>
                <w:iCs/>
                <w:color w:val="000000"/>
                <w:sz w:val="24"/>
              </w:rPr>
              <w:t xml:space="preserve">特定对象调研        </w:t>
            </w:r>
            <w:r w:rsidR="00B712DF" w:rsidRPr="00CF418B">
              <w:rPr>
                <w:rFonts w:ascii="宋体" w:hAnsi="宋体" w:hint="eastAsia"/>
                <w:bCs/>
                <w:iCs/>
                <w:color w:val="000000"/>
                <w:sz w:val="24"/>
              </w:rPr>
              <w:t>□</w:t>
            </w:r>
            <w:r w:rsidR="00B712DF" w:rsidRPr="00183E2C">
              <w:rPr>
                <w:rFonts w:ascii="宋体" w:hAnsi="宋体" w:hint="eastAsia"/>
                <w:bCs/>
                <w:iCs/>
                <w:color w:val="000000"/>
                <w:sz w:val="24"/>
              </w:rPr>
              <w:t>分析师会议</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媒体采访        </w:t>
            </w:r>
            <w:r w:rsidR="00FC10EE">
              <w:rPr>
                <w:rFonts w:ascii="宋体" w:hAnsi="宋体" w:hint="eastAsia"/>
                <w:bCs/>
                <w:iCs/>
                <w:color w:val="000000"/>
                <w:sz w:val="24"/>
              </w:rPr>
              <w:t xml:space="preserve">    </w:t>
            </w:r>
            <w:r w:rsidRPr="00CF418B">
              <w:rPr>
                <w:rFonts w:ascii="宋体" w:hAnsi="宋体" w:hint="eastAsia"/>
                <w:bCs/>
                <w:iCs/>
                <w:color w:val="000000"/>
                <w:sz w:val="24"/>
              </w:rPr>
              <w:t>□</w:t>
            </w:r>
            <w:r w:rsidRPr="00183E2C">
              <w:rPr>
                <w:rFonts w:ascii="宋体" w:hAnsi="宋体" w:hint="eastAsia"/>
                <w:bCs/>
                <w:iCs/>
                <w:color w:val="000000"/>
                <w:sz w:val="24"/>
              </w:rPr>
              <w:t>业绩说明会</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新闻发布会          </w:t>
            </w:r>
            <w:r w:rsidRPr="00CF418B">
              <w:rPr>
                <w:rFonts w:ascii="宋体" w:hAnsi="宋体" w:hint="eastAsia"/>
                <w:bCs/>
                <w:iCs/>
                <w:color w:val="000000"/>
                <w:sz w:val="24"/>
              </w:rPr>
              <w:t>□</w:t>
            </w:r>
            <w:r w:rsidRPr="00183E2C">
              <w:rPr>
                <w:rFonts w:ascii="宋体" w:hAnsi="宋体" w:hint="eastAsia"/>
                <w:bCs/>
                <w:iCs/>
                <w:color w:val="000000"/>
                <w:sz w:val="24"/>
              </w:rPr>
              <w:t>路演活动</w:t>
            </w:r>
          </w:p>
          <w:p w:rsidR="00B712DF" w:rsidRPr="00CF418B" w:rsidRDefault="00B712DF" w:rsidP="00923609">
            <w:pPr>
              <w:tabs>
                <w:tab w:val="left" w:pos="3045"/>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现场参观</w:t>
            </w:r>
            <w:r w:rsidRPr="00CF418B">
              <w:rPr>
                <w:rFonts w:ascii="宋体" w:hAnsi="宋体"/>
                <w:bCs/>
                <w:iCs/>
                <w:color w:val="000000"/>
                <w:sz w:val="24"/>
              </w:rPr>
              <w:tab/>
            </w:r>
          </w:p>
          <w:p w:rsidR="00B712DF" w:rsidRPr="00CF418B" w:rsidRDefault="00B712DF" w:rsidP="00923609">
            <w:pPr>
              <w:tabs>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其他 （请文字说明其他活动内容）</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参与单位名称及人员姓名</w:t>
            </w:r>
          </w:p>
        </w:tc>
        <w:tc>
          <w:tcPr>
            <w:tcW w:w="6614" w:type="dxa"/>
          </w:tcPr>
          <w:p w:rsidR="00292D0B" w:rsidRDefault="000503F8" w:rsidP="0023136F">
            <w:pPr>
              <w:spacing w:line="480" w:lineRule="atLeast"/>
              <w:rPr>
                <w:rFonts w:ascii="宋体" w:hAnsi="宋体"/>
                <w:bCs/>
                <w:iCs/>
                <w:color w:val="000000"/>
                <w:szCs w:val="21"/>
              </w:rPr>
            </w:pPr>
            <w:r>
              <w:rPr>
                <w:rFonts w:ascii="宋体" w:hAnsi="宋体" w:hint="eastAsia"/>
                <w:bCs/>
                <w:iCs/>
                <w:color w:val="000000"/>
                <w:szCs w:val="21"/>
              </w:rPr>
              <w:t>东北证券  经纬</w:t>
            </w:r>
          </w:p>
          <w:p w:rsidR="000503F8" w:rsidRPr="00520CD3" w:rsidRDefault="000503F8" w:rsidP="0023136F">
            <w:pPr>
              <w:spacing w:line="480" w:lineRule="atLeast"/>
              <w:rPr>
                <w:rFonts w:ascii="宋体" w:hAnsi="宋体"/>
                <w:bCs/>
                <w:iCs/>
                <w:color w:val="000000"/>
                <w:szCs w:val="21"/>
              </w:rPr>
            </w:pPr>
            <w:r>
              <w:rPr>
                <w:rFonts w:ascii="宋体" w:hAnsi="宋体" w:hint="eastAsia"/>
                <w:bCs/>
                <w:iCs/>
                <w:color w:val="000000"/>
                <w:szCs w:val="21"/>
              </w:rPr>
              <w:t>上投摩根  夏金强</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时间</w:t>
            </w:r>
          </w:p>
        </w:tc>
        <w:tc>
          <w:tcPr>
            <w:tcW w:w="6614" w:type="dxa"/>
          </w:tcPr>
          <w:p w:rsidR="0061226C" w:rsidRPr="00520CD3" w:rsidRDefault="0061226C" w:rsidP="0023136F">
            <w:pPr>
              <w:spacing w:line="480" w:lineRule="atLeast"/>
              <w:rPr>
                <w:rFonts w:ascii="宋体" w:hAnsi="宋体"/>
                <w:bCs/>
                <w:iCs/>
                <w:color w:val="000000"/>
                <w:szCs w:val="21"/>
              </w:rPr>
            </w:pPr>
            <w:r w:rsidRPr="00520CD3">
              <w:rPr>
                <w:rFonts w:ascii="宋体" w:hAnsi="宋体" w:hint="eastAsia"/>
                <w:bCs/>
                <w:iCs/>
                <w:color w:val="000000"/>
                <w:szCs w:val="21"/>
              </w:rPr>
              <w:t>201</w:t>
            </w:r>
            <w:r w:rsidR="004A78AC">
              <w:rPr>
                <w:rFonts w:ascii="宋体" w:hAnsi="宋体" w:hint="eastAsia"/>
                <w:bCs/>
                <w:iCs/>
                <w:color w:val="000000"/>
                <w:szCs w:val="21"/>
              </w:rPr>
              <w:t>7</w:t>
            </w:r>
            <w:r w:rsidRPr="00520CD3">
              <w:rPr>
                <w:rFonts w:ascii="宋体" w:hAnsi="宋体" w:hint="eastAsia"/>
                <w:bCs/>
                <w:iCs/>
                <w:color w:val="000000"/>
                <w:szCs w:val="21"/>
              </w:rPr>
              <w:t>年</w:t>
            </w:r>
            <w:r w:rsidR="00B02B85" w:rsidRPr="00520CD3">
              <w:rPr>
                <w:rFonts w:ascii="宋体" w:hAnsi="宋体" w:hint="eastAsia"/>
                <w:bCs/>
                <w:iCs/>
                <w:color w:val="000000"/>
                <w:szCs w:val="21"/>
              </w:rPr>
              <w:t>1</w:t>
            </w:r>
            <w:r w:rsidR="004A78AC">
              <w:rPr>
                <w:rFonts w:ascii="宋体" w:hAnsi="宋体" w:hint="eastAsia"/>
                <w:bCs/>
                <w:iCs/>
                <w:color w:val="000000"/>
                <w:szCs w:val="21"/>
              </w:rPr>
              <w:t xml:space="preserve"> </w:t>
            </w:r>
            <w:r w:rsidR="00C077F3" w:rsidRPr="00520CD3">
              <w:rPr>
                <w:rFonts w:ascii="宋体" w:hAnsi="宋体" w:hint="eastAsia"/>
                <w:bCs/>
                <w:iCs/>
                <w:color w:val="000000"/>
                <w:szCs w:val="21"/>
              </w:rPr>
              <w:t>月</w:t>
            </w:r>
            <w:r w:rsidR="000503F8">
              <w:rPr>
                <w:rFonts w:ascii="宋体" w:hAnsi="宋体" w:hint="eastAsia"/>
                <w:bCs/>
                <w:iCs/>
                <w:color w:val="000000"/>
                <w:szCs w:val="21"/>
              </w:rPr>
              <w:t>12</w:t>
            </w:r>
            <w:r w:rsidR="00C077F3" w:rsidRPr="00520CD3">
              <w:rPr>
                <w:rFonts w:ascii="宋体" w:hAnsi="宋体" w:hint="eastAsia"/>
                <w:bCs/>
                <w:iCs/>
                <w:color w:val="000000"/>
                <w:szCs w:val="21"/>
              </w:rPr>
              <w:t>日</w:t>
            </w:r>
            <w:r w:rsidR="004A78AC">
              <w:rPr>
                <w:rFonts w:ascii="宋体" w:hAnsi="宋体" w:hint="eastAsia"/>
                <w:bCs/>
                <w:iCs/>
                <w:color w:val="000000"/>
                <w:szCs w:val="21"/>
              </w:rPr>
              <w:t xml:space="preserve"> 上午</w:t>
            </w:r>
            <w:r w:rsidR="0023136F">
              <w:rPr>
                <w:rFonts w:ascii="宋体" w:hAnsi="宋体" w:hint="eastAsia"/>
                <w:bCs/>
                <w:iCs/>
                <w:color w:val="000000"/>
                <w:szCs w:val="21"/>
              </w:rPr>
              <w:t>10时</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地点</w:t>
            </w:r>
          </w:p>
        </w:tc>
        <w:tc>
          <w:tcPr>
            <w:tcW w:w="6614" w:type="dxa"/>
          </w:tcPr>
          <w:p w:rsidR="00B712DF" w:rsidRPr="00520CD3" w:rsidRDefault="00976E1A" w:rsidP="00AA5C73">
            <w:pPr>
              <w:spacing w:line="480" w:lineRule="atLeast"/>
              <w:rPr>
                <w:rFonts w:ascii="宋体" w:hAnsi="宋体"/>
                <w:bCs/>
                <w:iCs/>
                <w:color w:val="000000"/>
                <w:szCs w:val="21"/>
              </w:rPr>
            </w:pPr>
            <w:r w:rsidRPr="00520CD3">
              <w:rPr>
                <w:rFonts w:ascii="宋体" w:hAnsi="宋体" w:hint="eastAsia"/>
                <w:bCs/>
                <w:iCs/>
                <w:color w:val="000000"/>
                <w:szCs w:val="21"/>
              </w:rPr>
              <w:t>北京</w:t>
            </w:r>
            <w:r w:rsidR="00AA5C73">
              <w:rPr>
                <w:rFonts w:ascii="宋体" w:hAnsi="宋体" w:hint="eastAsia"/>
                <w:bCs/>
                <w:iCs/>
                <w:color w:val="000000"/>
                <w:szCs w:val="21"/>
              </w:rPr>
              <w:t>星网宇达</w:t>
            </w:r>
            <w:r w:rsidRPr="00520CD3">
              <w:rPr>
                <w:rFonts w:ascii="宋体" w:hAnsi="宋体" w:hint="eastAsia"/>
                <w:bCs/>
                <w:iCs/>
                <w:color w:val="000000"/>
                <w:szCs w:val="21"/>
              </w:rPr>
              <w:t>科技股份有限公司</w:t>
            </w:r>
            <w:r w:rsidR="00AA5C73">
              <w:rPr>
                <w:rFonts w:ascii="宋体" w:hAnsi="宋体" w:hint="eastAsia"/>
                <w:bCs/>
                <w:iCs/>
                <w:color w:val="000000"/>
                <w:szCs w:val="21"/>
              </w:rPr>
              <w:t>1号楼</w:t>
            </w:r>
            <w:r w:rsidR="000503F8">
              <w:rPr>
                <w:rFonts w:ascii="宋体" w:hAnsi="宋体" w:hint="eastAsia"/>
                <w:bCs/>
                <w:iCs/>
                <w:color w:val="000000"/>
                <w:szCs w:val="21"/>
              </w:rPr>
              <w:t>9</w:t>
            </w:r>
            <w:r w:rsidR="00AA5C73">
              <w:rPr>
                <w:rFonts w:ascii="宋体" w:hAnsi="宋体" w:hint="eastAsia"/>
                <w:bCs/>
                <w:iCs/>
                <w:color w:val="000000"/>
                <w:szCs w:val="21"/>
              </w:rPr>
              <w:t>层</w:t>
            </w:r>
            <w:r w:rsidR="00534134" w:rsidRPr="00520CD3">
              <w:rPr>
                <w:rFonts w:ascii="宋体" w:hAnsi="宋体" w:hint="eastAsia"/>
                <w:bCs/>
                <w:iCs/>
                <w:color w:val="000000"/>
                <w:szCs w:val="21"/>
              </w:rPr>
              <w:t>会议</w:t>
            </w:r>
            <w:r w:rsidR="0061226C" w:rsidRPr="00520CD3">
              <w:rPr>
                <w:rFonts w:ascii="宋体" w:hAnsi="宋体" w:hint="eastAsia"/>
                <w:bCs/>
                <w:iCs/>
                <w:color w:val="000000"/>
                <w:szCs w:val="21"/>
              </w:rPr>
              <w:t>室</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上市公司接待人员姓名</w:t>
            </w:r>
          </w:p>
        </w:tc>
        <w:tc>
          <w:tcPr>
            <w:tcW w:w="6614" w:type="dxa"/>
          </w:tcPr>
          <w:p w:rsidR="007C2271" w:rsidRPr="00520CD3" w:rsidRDefault="00820C70" w:rsidP="000503F8">
            <w:pPr>
              <w:spacing w:line="480" w:lineRule="atLeast"/>
              <w:rPr>
                <w:rFonts w:ascii="宋体" w:hAnsi="宋体"/>
                <w:bCs/>
                <w:iCs/>
                <w:color w:val="000000"/>
                <w:szCs w:val="21"/>
              </w:rPr>
            </w:pPr>
            <w:r>
              <w:rPr>
                <w:rFonts w:ascii="宋体" w:hAnsi="宋体" w:hint="eastAsia"/>
                <w:bCs/>
                <w:iCs/>
                <w:color w:val="000000"/>
                <w:szCs w:val="21"/>
              </w:rPr>
              <w:t>董事会秘书张志良</w:t>
            </w:r>
            <w:r w:rsidR="00BB050F" w:rsidRPr="00520CD3">
              <w:rPr>
                <w:rFonts w:ascii="宋体" w:hAnsi="宋体"/>
                <w:bCs/>
                <w:iCs/>
                <w:color w:val="000000"/>
                <w:szCs w:val="21"/>
              </w:rPr>
              <w:t xml:space="preserve"> </w:t>
            </w:r>
          </w:p>
        </w:tc>
      </w:tr>
      <w:tr w:rsidR="00A92F05" w:rsidRPr="00B212DE" w:rsidTr="00971174">
        <w:trPr>
          <w:trHeight w:val="557"/>
        </w:trPr>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投资者关系活动主要内容介绍</w:t>
            </w:r>
          </w:p>
          <w:p w:rsidR="00A92F05" w:rsidRPr="00CF418B" w:rsidRDefault="00A92F05" w:rsidP="00923609">
            <w:pPr>
              <w:spacing w:line="480" w:lineRule="atLeast"/>
              <w:rPr>
                <w:rFonts w:ascii="宋体" w:hAnsi="宋体"/>
                <w:b/>
                <w:bCs/>
                <w:iCs/>
                <w:color w:val="000000"/>
                <w:sz w:val="24"/>
              </w:rPr>
            </w:pPr>
          </w:p>
        </w:tc>
        <w:tc>
          <w:tcPr>
            <w:tcW w:w="6614" w:type="dxa"/>
          </w:tcPr>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公司的主营业务情况，惯导产品行业空间、增速情况？</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hint="eastAsia"/>
                <w:bCs/>
                <w:kern w:val="0"/>
                <w:szCs w:val="15"/>
              </w:rPr>
            </w:pPr>
            <w:r>
              <w:rPr>
                <w:rFonts w:ascii="Tahoma" w:hAnsi="Tahoma" w:cs="Tahoma" w:hint="eastAsia"/>
                <w:bCs/>
                <w:kern w:val="0"/>
                <w:szCs w:val="15"/>
              </w:rPr>
              <w:t xml:space="preserve">  </w:t>
            </w:r>
            <w:r>
              <w:rPr>
                <w:rFonts w:ascii="Tahoma" w:hAnsi="Tahoma" w:cs="Tahoma" w:hint="eastAsia"/>
                <w:bCs/>
                <w:kern w:val="0"/>
                <w:szCs w:val="15"/>
              </w:rPr>
              <w:t>公司主要从事惯性技术的研发及产业化，惯性技术的通常用于为运动物体提供全自主的的位置、姿态、加速度、角速率等信息，与其他技术相比，惯性技术具有抗干扰能力强、动态特性好、应用领域广等特点，是精确制导、水下潜航、室内定位、无人机、无人车、无人船、机器人、运动捕捉、物联网、虚拟现实、机械控制、智能制造、动基座稳控、地质导向等产品的核心部件；这种技术产品在形态上分为器件，组件和系统；从用途上分为导航，测量和稳控，从应用领域分为军工和民用。惯性技术应用非常广泛，可是说只受我们想象力的限制。未来随着无人驾驶、智能制造、人工智能等领域的蓬勃发展，惯性技术行业将迎来爆发式增长。</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同晨曦、耐威及体制内的研究所相比，公司的核心竞争力在哪里？</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r>
              <w:rPr>
                <w:rFonts w:ascii="Tahoma" w:hAnsi="Tahoma" w:cs="Tahoma" w:hint="eastAsia"/>
                <w:bCs/>
                <w:kern w:val="0"/>
                <w:szCs w:val="15"/>
              </w:rPr>
              <w:t xml:space="preserve">     </w:t>
            </w:r>
            <w:r>
              <w:rPr>
                <w:rFonts w:ascii="Tahoma" w:hAnsi="Tahoma" w:cs="Tahoma" w:hint="eastAsia"/>
                <w:bCs/>
                <w:kern w:val="0"/>
                <w:szCs w:val="15"/>
              </w:rPr>
              <w:t>星网宇达坚持以惯性技术为中心，以行业应用为驱动，将导航、测量、控制应用三位一体，极大提高了与客户的粘稠度；公司高度重视军民融合，产品在军民两个市场均衡发展，积极推进</w:t>
            </w:r>
            <w:r>
              <w:rPr>
                <w:rFonts w:ascii="Tahoma" w:hAnsi="Tahoma" w:cs="Tahoma" w:hint="eastAsia"/>
                <w:bCs/>
                <w:kern w:val="0"/>
                <w:szCs w:val="15"/>
              </w:rPr>
              <w:t>1+N</w:t>
            </w:r>
            <w:r>
              <w:rPr>
                <w:rFonts w:ascii="Tahoma" w:hAnsi="Tahoma" w:cs="Tahoma" w:hint="eastAsia"/>
                <w:bCs/>
                <w:kern w:val="0"/>
                <w:szCs w:val="15"/>
              </w:rPr>
              <w:t>战略，紧抓市场热点，确保盈利空间；公司是国内惯性技术产业化领军企业，在产业化方面具有领先地位，公司在技术、人才、市场、服务等方面具有较强的实力，可为用户提供定制化解决方案，满足</w:t>
            </w:r>
            <w:r>
              <w:rPr>
                <w:rFonts w:ascii="Tahoma" w:hAnsi="Tahoma" w:cs="Tahoma" w:hint="eastAsia"/>
                <w:bCs/>
                <w:kern w:val="0"/>
                <w:szCs w:val="15"/>
              </w:rPr>
              <w:lastRenderedPageBreak/>
              <w:t>不同客户个性化需求。</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公司的惯导产品中的陀螺和加计是否是公司自身的产品，还是外购的哪些公司的产品？</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r>
              <w:rPr>
                <w:rFonts w:ascii="Tahoma" w:hAnsi="Tahoma" w:cs="Tahoma" w:hint="eastAsia"/>
                <w:bCs/>
                <w:kern w:val="0"/>
                <w:szCs w:val="15"/>
              </w:rPr>
              <w:t xml:space="preserve">    </w:t>
            </w:r>
            <w:r>
              <w:rPr>
                <w:rFonts w:ascii="Tahoma" w:hAnsi="Tahoma" w:cs="Tahoma" w:hint="eastAsia"/>
                <w:bCs/>
                <w:kern w:val="0"/>
                <w:szCs w:val="15"/>
              </w:rPr>
              <w:t>目前公司在陀螺仪方面部分自主生产，部分通过外部采购；加速度计部分是通过外部采购。惯性器件性能差异很多，通常按照精度进行分级，我们的产品根据客户需求进行定制。</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公司的军民品占比情况，军民品毛利率差异？</w:t>
            </w:r>
            <w:bookmarkStart w:id="0" w:name="_GoBack"/>
            <w:bookmarkEnd w:id="0"/>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r>
              <w:rPr>
                <w:rFonts w:ascii="Tahoma" w:hAnsi="Tahoma" w:cs="Tahoma" w:hint="eastAsia"/>
                <w:bCs/>
                <w:kern w:val="0"/>
                <w:szCs w:val="15"/>
              </w:rPr>
              <w:t xml:space="preserve">    </w:t>
            </w:r>
            <w:r>
              <w:rPr>
                <w:rFonts w:ascii="Tahoma" w:hAnsi="Tahoma" w:cs="Tahoma" w:hint="eastAsia"/>
                <w:bCs/>
                <w:kern w:val="0"/>
                <w:szCs w:val="15"/>
              </w:rPr>
              <w:t>公司目前军民品业务比例基本上各占</w:t>
            </w:r>
            <w:r>
              <w:rPr>
                <w:rFonts w:ascii="Tahoma" w:hAnsi="Tahoma" w:cs="Tahoma" w:hint="eastAsia"/>
                <w:bCs/>
                <w:kern w:val="0"/>
                <w:szCs w:val="15"/>
              </w:rPr>
              <w:t>50%</w:t>
            </w:r>
            <w:r>
              <w:rPr>
                <w:rFonts w:ascii="Tahoma" w:hAnsi="Tahoma" w:cs="Tahoma" w:hint="eastAsia"/>
                <w:bCs/>
                <w:kern w:val="0"/>
                <w:szCs w:val="15"/>
              </w:rPr>
              <w:t>，公司面向军品市场的产品主要包括卫星动中通产品、惯性导航产品、组合导航产品等。公司在</w:t>
            </w:r>
            <w:r>
              <w:rPr>
                <w:rFonts w:ascii="Tahoma" w:hAnsi="Tahoma" w:cs="Tahoma" w:hint="eastAsia"/>
                <w:bCs/>
                <w:kern w:val="0"/>
                <w:szCs w:val="15"/>
              </w:rPr>
              <w:t>2016</w:t>
            </w:r>
            <w:r>
              <w:rPr>
                <w:rFonts w:ascii="Tahoma" w:hAnsi="Tahoma" w:cs="Tahoma" w:hint="eastAsia"/>
                <w:bCs/>
                <w:kern w:val="0"/>
                <w:szCs w:val="15"/>
              </w:rPr>
              <w:t>年布局的雷达、光电稳控、无人机等产品也正积极参加军方的招标比测。民用市场公司产品主要用于智能驾考、高铁安全检测、移动测绘、机器人、无人机、智能控制等领域。由于公司军品业务大部分都是通过招投标和竞争性谈判等市场化方式取得，因此军民品的毛利率基本相当。</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公司的技术研发团队背景，产品是否有较高的技术壁垒？</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hint="eastAsia"/>
                <w:bCs/>
                <w:kern w:val="0"/>
                <w:szCs w:val="15"/>
              </w:rPr>
            </w:pPr>
            <w:r>
              <w:rPr>
                <w:rFonts w:ascii="Tahoma" w:hAnsi="Tahoma" w:cs="Tahoma" w:hint="eastAsia"/>
                <w:bCs/>
                <w:kern w:val="0"/>
                <w:szCs w:val="15"/>
              </w:rPr>
              <w:t xml:space="preserve">     </w:t>
            </w:r>
            <w:r>
              <w:rPr>
                <w:rFonts w:ascii="Tahoma" w:hAnsi="Tahoma" w:cs="Tahoma" w:hint="eastAsia"/>
                <w:bCs/>
                <w:kern w:val="0"/>
                <w:szCs w:val="15"/>
              </w:rPr>
              <w:t>公司自设立以来，就以惯性技术的研发和推广为发展方向，从面向工程师提供解决方案做起，通过十多年的积累，形成了一只行业领先的研发团队。目前公司的团队主要由北航、北理工、哈工大、国防科大等行业内顶尖院校和航天、航空等军工院所的高级人才构成。公司目前三大类产品均具有自主核心技术体系，以惯性组合导航产品为例，</w:t>
            </w:r>
            <w:r>
              <w:rPr>
                <w:rFonts w:ascii="Tahoma" w:hAnsi="Tahoma" w:cs="Tahoma"/>
                <w:bCs/>
                <w:kern w:val="0"/>
                <w:szCs w:val="15"/>
              </w:rPr>
              <w:t>“</w:t>
            </w:r>
            <w:r>
              <w:rPr>
                <w:rFonts w:ascii="Tahoma" w:hAnsi="Tahoma" w:cs="Tahoma" w:hint="eastAsia"/>
                <w:bCs/>
                <w:kern w:val="0"/>
                <w:szCs w:val="15"/>
              </w:rPr>
              <w:t>惯性器件误差建模与补偿技术</w:t>
            </w:r>
            <w:r>
              <w:rPr>
                <w:rFonts w:ascii="Tahoma" w:hAnsi="Tahoma" w:cs="Tahoma"/>
                <w:bCs/>
                <w:kern w:val="0"/>
                <w:szCs w:val="15"/>
              </w:rPr>
              <w:t>”</w:t>
            </w:r>
            <w:r>
              <w:rPr>
                <w:rFonts w:ascii="Tahoma" w:hAnsi="Tahoma" w:cs="Tahoma" w:hint="eastAsia"/>
                <w:bCs/>
                <w:kern w:val="0"/>
                <w:szCs w:val="15"/>
              </w:rPr>
              <w:t>、</w:t>
            </w:r>
            <w:r>
              <w:rPr>
                <w:rFonts w:ascii="Tahoma" w:hAnsi="Tahoma" w:cs="Tahoma"/>
                <w:bCs/>
                <w:kern w:val="0"/>
                <w:szCs w:val="15"/>
              </w:rPr>
              <w:t>“</w:t>
            </w:r>
            <w:r>
              <w:rPr>
                <w:rFonts w:ascii="Tahoma" w:hAnsi="Tahoma" w:cs="Tahoma" w:hint="eastAsia"/>
                <w:bCs/>
                <w:kern w:val="0"/>
                <w:szCs w:val="15"/>
              </w:rPr>
              <w:t>高精度惯性基组合导航与姿态测量技术</w:t>
            </w:r>
            <w:r>
              <w:rPr>
                <w:rFonts w:ascii="Tahoma" w:hAnsi="Tahoma" w:cs="Tahoma"/>
                <w:bCs/>
                <w:kern w:val="0"/>
                <w:szCs w:val="15"/>
              </w:rPr>
              <w:t>”</w:t>
            </w:r>
            <w:r>
              <w:rPr>
                <w:rFonts w:ascii="Tahoma" w:hAnsi="Tahoma" w:cs="Tahoma" w:hint="eastAsia"/>
                <w:bCs/>
                <w:kern w:val="0"/>
                <w:szCs w:val="15"/>
              </w:rPr>
              <w:t>“动基座稳定控制技术”是公司在十多年发展中形成的核心技术成果，</w:t>
            </w:r>
            <w:r w:rsidRPr="00B4299E">
              <w:rPr>
                <w:rFonts w:ascii="Tahoma" w:hAnsi="Tahoma" w:cs="Tahoma" w:hint="eastAsia"/>
                <w:bCs/>
                <w:kern w:val="0"/>
                <w:szCs w:val="15"/>
              </w:rPr>
              <w:t>已取得</w:t>
            </w:r>
            <w:r w:rsidRPr="00B4299E">
              <w:rPr>
                <w:rFonts w:ascii="Tahoma" w:hAnsi="Tahoma" w:cs="Tahoma" w:hint="eastAsia"/>
                <w:bCs/>
                <w:kern w:val="0"/>
                <w:szCs w:val="15"/>
              </w:rPr>
              <w:t>37</w:t>
            </w:r>
            <w:r w:rsidRPr="00B4299E">
              <w:rPr>
                <w:rFonts w:ascii="Tahoma" w:hAnsi="Tahoma" w:cs="Tahoma" w:hint="eastAsia"/>
                <w:bCs/>
                <w:kern w:val="0"/>
                <w:szCs w:val="15"/>
              </w:rPr>
              <w:t>项专利（其中，</w:t>
            </w:r>
            <w:r w:rsidRPr="00B4299E">
              <w:rPr>
                <w:rFonts w:ascii="Tahoma" w:hAnsi="Tahoma" w:cs="Tahoma" w:hint="eastAsia"/>
                <w:bCs/>
                <w:kern w:val="0"/>
                <w:szCs w:val="15"/>
              </w:rPr>
              <w:t>6</w:t>
            </w:r>
            <w:r w:rsidRPr="00B4299E">
              <w:rPr>
                <w:rFonts w:ascii="Tahoma" w:hAnsi="Tahoma" w:cs="Tahoma" w:hint="eastAsia"/>
                <w:bCs/>
                <w:kern w:val="0"/>
                <w:szCs w:val="15"/>
              </w:rPr>
              <w:t>项为发明专利）和</w:t>
            </w:r>
            <w:r w:rsidRPr="00B4299E">
              <w:rPr>
                <w:rFonts w:ascii="Tahoma" w:hAnsi="Tahoma" w:cs="Tahoma" w:hint="eastAsia"/>
                <w:bCs/>
                <w:kern w:val="0"/>
                <w:szCs w:val="15"/>
              </w:rPr>
              <w:t>37</w:t>
            </w:r>
            <w:r w:rsidRPr="00B4299E">
              <w:rPr>
                <w:rFonts w:ascii="Tahoma" w:hAnsi="Tahoma" w:cs="Tahoma" w:hint="eastAsia"/>
                <w:bCs/>
                <w:kern w:val="0"/>
                <w:szCs w:val="15"/>
              </w:rPr>
              <w:t>项软件著作权，形成了强有力的技术壁垒。</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公司的客户粘性如何？</w:t>
            </w:r>
          </w:p>
          <w:p w:rsidR="003F6274" w:rsidRDefault="003F6274" w:rsidP="003F6274">
            <w:pPr>
              <w:pStyle w:val="ListParagraph62b8dbb6-1261-42e4-8a89-4912a948aa2d"/>
              <w:widowControl/>
              <w:spacing w:before="150" w:line="250" w:lineRule="atLeast"/>
              <w:ind w:left="360" w:firstLineChars="0"/>
              <w:jc w:val="left"/>
              <w:rPr>
                <w:rFonts w:ascii="Tahoma" w:hAnsi="Tahoma" w:cs="Tahoma" w:hint="eastAsia"/>
                <w:bCs/>
                <w:kern w:val="0"/>
                <w:szCs w:val="15"/>
              </w:rPr>
            </w:pPr>
            <w:r>
              <w:rPr>
                <w:rFonts w:ascii="Tahoma" w:hAnsi="Tahoma" w:cs="Tahoma" w:hint="eastAsia"/>
                <w:bCs/>
                <w:kern w:val="0"/>
                <w:szCs w:val="15"/>
              </w:rPr>
              <w:t>由于惯性技术领域技术含量高、专业性强，且客户需求之间往往存在差异，需要进行定制化开发，大多数客户需要的不仅仅是一个产品，而是完善的解决方案。因此客户对公司产品的粘性较高。</w:t>
            </w:r>
          </w:p>
          <w:p w:rsidR="003F6274" w:rsidRDefault="003F6274" w:rsidP="003F6274">
            <w:pPr>
              <w:pStyle w:val="ListParagraph62b8dbb6-1261-42e4-8a89-4912a948aa2d"/>
              <w:widowControl/>
              <w:spacing w:before="150" w:line="250" w:lineRule="atLeast"/>
              <w:ind w:left="360" w:firstLineChars="0"/>
              <w:jc w:val="left"/>
              <w:rPr>
                <w:rFonts w:ascii="Tahoma" w:hAnsi="Tahoma" w:cs="Tahoma"/>
                <w:bCs/>
                <w:kern w:val="0"/>
                <w:szCs w:val="15"/>
              </w:rPr>
            </w:pP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公司未来业绩的主要增长点在哪些方面？</w:t>
            </w:r>
          </w:p>
          <w:p w:rsidR="003F6274" w:rsidRDefault="003F6274" w:rsidP="003F6274">
            <w:pPr>
              <w:pStyle w:val="ListParagraph62b8dbb6-1261-42e4-8a89-4912a948aa2d"/>
              <w:widowControl/>
              <w:spacing w:before="150" w:line="250" w:lineRule="atLeast"/>
              <w:ind w:left="360" w:firstLineChars="0" w:firstLine="0"/>
              <w:jc w:val="left"/>
              <w:rPr>
                <w:rFonts w:ascii="Tahoma" w:hAnsi="Tahoma" w:cs="Tahoma"/>
                <w:bCs/>
                <w:kern w:val="0"/>
                <w:szCs w:val="15"/>
              </w:rPr>
            </w:pPr>
            <w:r>
              <w:rPr>
                <w:rFonts w:ascii="Tahoma" w:hAnsi="Tahoma" w:cs="Tahoma" w:hint="eastAsia"/>
                <w:bCs/>
                <w:kern w:val="0"/>
                <w:szCs w:val="15"/>
              </w:rPr>
              <w:t xml:space="preserve">    </w:t>
            </w:r>
            <w:r>
              <w:rPr>
                <w:rFonts w:ascii="Tahoma" w:hAnsi="Tahoma" w:cs="Tahoma" w:hint="eastAsia"/>
                <w:bCs/>
                <w:kern w:val="0"/>
                <w:szCs w:val="15"/>
              </w:rPr>
              <w:t>公司未来</w:t>
            </w:r>
            <w:r>
              <w:rPr>
                <w:rFonts w:ascii="Tahoma" w:hAnsi="Tahoma" w:cs="Tahoma" w:hint="eastAsia"/>
                <w:bCs/>
                <w:kern w:val="0"/>
                <w:szCs w:val="15"/>
              </w:rPr>
              <w:t>3-5</w:t>
            </w:r>
            <w:r>
              <w:rPr>
                <w:rFonts w:ascii="Tahoma" w:hAnsi="Tahoma" w:cs="Tahoma" w:hint="eastAsia"/>
                <w:bCs/>
                <w:kern w:val="0"/>
                <w:szCs w:val="15"/>
              </w:rPr>
              <w:t>业绩的主要增长点主要集中在导航类产品、动中通产品、无人机产品、智能驾考产品、光电稳控产品、红外探测产品和雷达探测产品等方面。</w:t>
            </w:r>
          </w:p>
          <w:p w:rsidR="003F6274" w:rsidRPr="00B9221B" w:rsidRDefault="003F6274" w:rsidP="003F6274">
            <w:pPr>
              <w:pStyle w:val="ListParagraph62b8dbb6-1261-42e4-8a89-4912a948aa2d"/>
              <w:numPr>
                <w:ilvl w:val="0"/>
                <w:numId w:val="4"/>
              </w:numPr>
              <w:ind w:firstLineChars="0"/>
              <w:jc w:val="left"/>
              <w:rPr>
                <w:b/>
                <w:sz w:val="24"/>
                <w:szCs w:val="24"/>
              </w:rPr>
            </w:pPr>
            <w:r w:rsidRPr="00B9221B">
              <w:rPr>
                <w:rFonts w:hint="eastAsia"/>
                <w:b/>
                <w:sz w:val="24"/>
                <w:szCs w:val="24"/>
              </w:rPr>
              <w:t>公司未来的战略规划如何？</w:t>
            </w:r>
          </w:p>
          <w:p w:rsidR="00A7742C" w:rsidRDefault="003F6274" w:rsidP="003F6274">
            <w:pPr>
              <w:pStyle w:val="ListParagraph62b8dbb6-1261-42e4-8a89-4912a948aa2d"/>
              <w:widowControl/>
              <w:spacing w:before="150" w:line="250" w:lineRule="atLeast"/>
              <w:ind w:left="360" w:firstLineChars="0" w:firstLine="0"/>
              <w:jc w:val="left"/>
              <w:rPr>
                <w:rFonts w:asciiTheme="minorEastAsia" w:hAnsiTheme="minorEastAsia"/>
                <w:b/>
                <w:kern w:val="0"/>
                <w:szCs w:val="21"/>
              </w:rPr>
            </w:pPr>
            <w:r>
              <w:rPr>
                <w:rFonts w:ascii="Tahoma" w:hAnsi="Tahoma" w:cs="Tahoma" w:hint="eastAsia"/>
                <w:bCs/>
                <w:kern w:val="0"/>
                <w:szCs w:val="15"/>
              </w:rPr>
              <w:t xml:space="preserve">    </w:t>
            </w:r>
            <w:r>
              <w:rPr>
                <w:rFonts w:ascii="Tahoma" w:hAnsi="Tahoma" w:cs="Tahoma" w:hint="eastAsia"/>
                <w:bCs/>
                <w:kern w:val="0"/>
                <w:szCs w:val="15"/>
              </w:rPr>
              <w:t>目前公司已经形成以惯性技术产业化为核心，组合导航、移动</w:t>
            </w:r>
            <w:r>
              <w:rPr>
                <w:rFonts w:ascii="Tahoma" w:hAnsi="Tahoma" w:cs="Tahoma" w:hint="eastAsia"/>
                <w:bCs/>
                <w:kern w:val="0"/>
                <w:szCs w:val="15"/>
              </w:rPr>
              <w:lastRenderedPageBreak/>
              <w:t>测量、卫星动中通、无人机、光电稳控、雷达、红外等</w:t>
            </w:r>
            <w:r>
              <w:rPr>
                <w:rFonts w:ascii="Tahoma" w:hAnsi="Tahoma" w:cs="Tahoma" w:hint="eastAsia"/>
                <w:bCs/>
                <w:kern w:val="0"/>
                <w:szCs w:val="15"/>
              </w:rPr>
              <w:t>6</w:t>
            </w:r>
            <w:r>
              <w:rPr>
                <w:rFonts w:ascii="Tahoma" w:hAnsi="Tahoma" w:cs="Tahoma" w:hint="eastAsia"/>
                <w:bCs/>
                <w:kern w:val="0"/>
                <w:szCs w:val="15"/>
              </w:rPr>
              <w:t>大行业应用的“</w:t>
            </w:r>
            <w:r>
              <w:rPr>
                <w:rFonts w:ascii="Tahoma" w:hAnsi="Tahoma" w:cs="Tahoma" w:hint="eastAsia"/>
                <w:bCs/>
                <w:kern w:val="0"/>
                <w:szCs w:val="15"/>
              </w:rPr>
              <w:t>1</w:t>
            </w:r>
            <w:r>
              <w:rPr>
                <w:rFonts w:ascii="Tahoma" w:hAnsi="Tahoma" w:cs="Tahoma" w:hint="eastAsia"/>
                <w:bCs/>
                <w:kern w:val="0"/>
                <w:szCs w:val="15"/>
              </w:rPr>
              <w:t>个核心</w:t>
            </w:r>
            <w:r>
              <w:rPr>
                <w:rFonts w:ascii="Tahoma" w:hAnsi="Tahoma" w:cs="Tahoma" w:hint="eastAsia"/>
                <w:bCs/>
                <w:kern w:val="0"/>
                <w:szCs w:val="15"/>
              </w:rPr>
              <w:t>N</w:t>
            </w:r>
            <w:r>
              <w:rPr>
                <w:rFonts w:ascii="Tahoma" w:hAnsi="Tahoma" w:cs="Tahoma" w:hint="eastAsia"/>
                <w:bCs/>
                <w:kern w:val="0"/>
                <w:szCs w:val="15"/>
              </w:rPr>
              <w:t>种应用”的“</w:t>
            </w:r>
            <w:r>
              <w:rPr>
                <w:rFonts w:ascii="Tahoma" w:hAnsi="Tahoma" w:cs="Tahoma" w:hint="eastAsia"/>
                <w:bCs/>
                <w:kern w:val="0"/>
                <w:szCs w:val="15"/>
              </w:rPr>
              <w:t>1+N</w:t>
            </w:r>
            <w:r>
              <w:rPr>
                <w:rFonts w:ascii="Tahoma" w:hAnsi="Tahoma" w:cs="Tahoma" w:hint="eastAsia"/>
                <w:bCs/>
                <w:kern w:val="0"/>
                <w:szCs w:val="15"/>
              </w:rPr>
              <w:t>”业务布局，接下来公司战略规划是在坚持把惯性技术这个核心做强的基础上，积极把握行业应用的拓展机会，不断扩充</w:t>
            </w:r>
            <w:r>
              <w:rPr>
                <w:rFonts w:ascii="Tahoma" w:hAnsi="Tahoma" w:cs="Tahoma" w:hint="eastAsia"/>
                <w:bCs/>
                <w:kern w:val="0"/>
                <w:szCs w:val="15"/>
              </w:rPr>
              <w:t>N</w:t>
            </w:r>
            <w:r>
              <w:rPr>
                <w:rFonts w:ascii="Tahoma" w:hAnsi="Tahoma" w:cs="Tahoma" w:hint="eastAsia"/>
                <w:bCs/>
                <w:kern w:val="0"/>
                <w:szCs w:val="15"/>
              </w:rPr>
              <w:t>种行业应用，提升公司的业务规模，进一步提升公司惯性技术的核心地位。</w:t>
            </w:r>
          </w:p>
          <w:p w:rsidR="00585799" w:rsidRPr="00856052" w:rsidRDefault="00585799" w:rsidP="00A7742C">
            <w:pPr>
              <w:spacing w:line="360" w:lineRule="auto"/>
              <w:rPr>
                <w:szCs w:val="30"/>
              </w:rPr>
            </w:pPr>
          </w:p>
        </w:tc>
      </w:tr>
      <w:tr w:rsidR="00A92F05" w:rsidRPr="00CF418B" w:rsidTr="00923609">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lastRenderedPageBreak/>
              <w:t>日期</w:t>
            </w:r>
          </w:p>
        </w:tc>
        <w:tc>
          <w:tcPr>
            <w:tcW w:w="6614" w:type="dxa"/>
          </w:tcPr>
          <w:p w:rsidR="00A92F05" w:rsidRPr="00CF418B" w:rsidRDefault="00A92F05" w:rsidP="00516C97">
            <w:pPr>
              <w:spacing w:line="480" w:lineRule="atLeast"/>
              <w:rPr>
                <w:rFonts w:ascii="宋体" w:hAnsi="宋体"/>
                <w:bCs/>
                <w:iCs/>
                <w:color w:val="000000"/>
                <w:sz w:val="24"/>
              </w:rPr>
            </w:pPr>
            <w:r>
              <w:rPr>
                <w:rFonts w:ascii="宋体" w:hAnsi="宋体" w:hint="eastAsia"/>
                <w:bCs/>
                <w:iCs/>
                <w:color w:val="000000"/>
                <w:sz w:val="24"/>
              </w:rPr>
              <w:t>201</w:t>
            </w:r>
            <w:r w:rsidR="00A7742C">
              <w:rPr>
                <w:rFonts w:ascii="宋体" w:hAnsi="宋体" w:hint="eastAsia"/>
                <w:bCs/>
                <w:iCs/>
                <w:color w:val="000000"/>
                <w:sz w:val="24"/>
              </w:rPr>
              <w:t>7</w:t>
            </w:r>
            <w:r>
              <w:rPr>
                <w:rFonts w:ascii="宋体" w:hAnsi="宋体" w:hint="eastAsia"/>
                <w:bCs/>
                <w:iCs/>
                <w:color w:val="000000"/>
                <w:sz w:val="24"/>
              </w:rPr>
              <w:t>年</w:t>
            </w:r>
            <w:r w:rsidR="00C31BE4">
              <w:rPr>
                <w:rFonts w:ascii="宋体" w:hAnsi="宋体" w:hint="eastAsia"/>
                <w:bCs/>
                <w:iCs/>
                <w:color w:val="000000"/>
                <w:sz w:val="24"/>
              </w:rPr>
              <w:t>1</w:t>
            </w:r>
            <w:r w:rsidR="009C1AD5">
              <w:rPr>
                <w:rFonts w:ascii="宋体" w:hAnsi="宋体" w:hint="eastAsia"/>
                <w:bCs/>
                <w:iCs/>
                <w:color w:val="000000"/>
                <w:sz w:val="24"/>
              </w:rPr>
              <w:t>月</w:t>
            </w:r>
            <w:r w:rsidR="00516C97">
              <w:rPr>
                <w:rFonts w:ascii="宋体" w:hAnsi="宋体" w:hint="eastAsia"/>
                <w:bCs/>
                <w:iCs/>
                <w:color w:val="000000"/>
                <w:sz w:val="24"/>
              </w:rPr>
              <w:t>12</w:t>
            </w:r>
            <w:r w:rsidR="009C1AD5">
              <w:rPr>
                <w:rFonts w:ascii="宋体" w:hAnsi="宋体" w:hint="eastAsia"/>
                <w:bCs/>
                <w:iCs/>
                <w:color w:val="000000"/>
                <w:sz w:val="24"/>
              </w:rPr>
              <w:t>日</w:t>
            </w:r>
          </w:p>
        </w:tc>
      </w:tr>
    </w:tbl>
    <w:p w:rsidR="00B712DF" w:rsidRPr="006763DD" w:rsidRDefault="00B712DF" w:rsidP="00B712DF">
      <w:pPr>
        <w:ind w:firstLineChars="200" w:firstLine="420"/>
      </w:pPr>
    </w:p>
    <w:sectPr w:rsidR="00B712DF" w:rsidRPr="006763DD"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A4" w:rsidRDefault="001611A4" w:rsidP="00C50CF5">
      <w:r>
        <w:separator/>
      </w:r>
    </w:p>
  </w:endnote>
  <w:endnote w:type="continuationSeparator" w:id="0">
    <w:p w:rsidR="001611A4" w:rsidRDefault="001611A4" w:rsidP="00C50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楷体">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374806">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end"/>
    </w:r>
  </w:p>
  <w:p w:rsidR="00621632" w:rsidRDefault="006216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374806">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separate"/>
    </w:r>
    <w:r w:rsidR="003F6274">
      <w:rPr>
        <w:rStyle w:val="a4"/>
        <w:noProof/>
      </w:rPr>
      <w:t>3</w:t>
    </w:r>
    <w:r>
      <w:rPr>
        <w:rStyle w:val="a4"/>
      </w:rPr>
      <w:fldChar w:fldCharType="end"/>
    </w:r>
  </w:p>
  <w:p w:rsidR="00621632" w:rsidRDefault="006216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A4" w:rsidRDefault="001611A4" w:rsidP="00C50CF5">
      <w:r>
        <w:separator/>
      </w:r>
    </w:p>
  </w:footnote>
  <w:footnote w:type="continuationSeparator" w:id="0">
    <w:p w:rsidR="001611A4" w:rsidRDefault="001611A4" w:rsidP="00C50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3">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2DF"/>
    <w:rsid w:val="00005166"/>
    <w:rsid w:val="00013107"/>
    <w:rsid w:val="00014461"/>
    <w:rsid w:val="00015772"/>
    <w:rsid w:val="00016509"/>
    <w:rsid w:val="00017709"/>
    <w:rsid w:val="0002525D"/>
    <w:rsid w:val="00030C22"/>
    <w:rsid w:val="00031056"/>
    <w:rsid w:val="00040EF3"/>
    <w:rsid w:val="00047629"/>
    <w:rsid w:val="000503F8"/>
    <w:rsid w:val="000518E9"/>
    <w:rsid w:val="000631A0"/>
    <w:rsid w:val="000644F5"/>
    <w:rsid w:val="00064BC2"/>
    <w:rsid w:val="00064F63"/>
    <w:rsid w:val="00071791"/>
    <w:rsid w:val="00071FA6"/>
    <w:rsid w:val="00074E40"/>
    <w:rsid w:val="00081BFF"/>
    <w:rsid w:val="00083585"/>
    <w:rsid w:val="00085FCF"/>
    <w:rsid w:val="000969B0"/>
    <w:rsid w:val="000A2208"/>
    <w:rsid w:val="000A35AD"/>
    <w:rsid w:val="000A45FD"/>
    <w:rsid w:val="000B0E91"/>
    <w:rsid w:val="000B1375"/>
    <w:rsid w:val="000B2795"/>
    <w:rsid w:val="000B77C1"/>
    <w:rsid w:val="000C1A78"/>
    <w:rsid w:val="000C32AA"/>
    <w:rsid w:val="000C34DF"/>
    <w:rsid w:val="000C65EC"/>
    <w:rsid w:val="000E4306"/>
    <w:rsid w:val="000E5A3B"/>
    <w:rsid w:val="000F2F67"/>
    <w:rsid w:val="001014E1"/>
    <w:rsid w:val="001044AE"/>
    <w:rsid w:val="00104FCB"/>
    <w:rsid w:val="0011162E"/>
    <w:rsid w:val="00111746"/>
    <w:rsid w:val="00112C9C"/>
    <w:rsid w:val="00114D7E"/>
    <w:rsid w:val="0011663D"/>
    <w:rsid w:val="00120E9A"/>
    <w:rsid w:val="001256F6"/>
    <w:rsid w:val="00132B8C"/>
    <w:rsid w:val="00134903"/>
    <w:rsid w:val="00135681"/>
    <w:rsid w:val="0014394D"/>
    <w:rsid w:val="00144484"/>
    <w:rsid w:val="001524F8"/>
    <w:rsid w:val="001611A4"/>
    <w:rsid w:val="00172003"/>
    <w:rsid w:val="0017678E"/>
    <w:rsid w:val="001767CC"/>
    <w:rsid w:val="00183E2C"/>
    <w:rsid w:val="00184A7E"/>
    <w:rsid w:val="00187206"/>
    <w:rsid w:val="00194DDB"/>
    <w:rsid w:val="001A0DC8"/>
    <w:rsid w:val="001A19FD"/>
    <w:rsid w:val="001B5BFF"/>
    <w:rsid w:val="001B639D"/>
    <w:rsid w:val="001B769E"/>
    <w:rsid w:val="001C341B"/>
    <w:rsid w:val="001C7636"/>
    <w:rsid w:val="001D6272"/>
    <w:rsid w:val="001E796E"/>
    <w:rsid w:val="001F0EF2"/>
    <w:rsid w:val="001F1764"/>
    <w:rsid w:val="001F5565"/>
    <w:rsid w:val="001F5BBE"/>
    <w:rsid w:val="001F63D7"/>
    <w:rsid w:val="00200DB7"/>
    <w:rsid w:val="00203E98"/>
    <w:rsid w:val="00205BEA"/>
    <w:rsid w:val="002160F6"/>
    <w:rsid w:val="00217D66"/>
    <w:rsid w:val="00220811"/>
    <w:rsid w:val="00221035"/>
    <w:rsid w:val="002234D5"/>
    <w:rsid w:val="002252B5"/>
    <w:rsid w:val="00225C68"/>
    <w:rsid w:val="00227653"/>
    <w:rsid w:val="0023136F"/>
    <w:rsid w:val="00236B79"/>
    <w:rsid w:val="002378FB"/>
    <w:rsid w:val="0024451A"/>
    <w:rsid w:val="00254E1B"/>
    <w:rsid w:val="00256245"/>
    <w:rsid w:val="0027239F"/>
    <w:rsid w:val="00274CDA"/>
    <w:rsid w:val="00283A55"/>
    <w:rsid w:val="00292D0B"/>
    <w:rsid w:val="002935D5"/>
    <w:rsid w:val="00294E65"/>
    <w:rsid w:val="002A36E6"/>
    <w:rsid w:val="002B07CB"/>
    <w:rsid w:val="002B643C"/>
    <w:rsid w:val="002C0DFF"/>
    <w:rsid w:val="002C2B09"/>
    <w:rsid w:val="002D257E"/>
    <w:rsid w:val="002D6EF2"/>
    <w:rsid w:val="002E1124"/>
    <w:rsid w:val="002E1431"/>
    <w:rsid w:val="002E4D5F"/>
    <w:rsid w:val="002E4F90"/>
    <w:rsid w:val="002E6421"/>
    <w:rsid w:val="002E7804"/>
    <w:rsid w:val="00302715"/>
    <w:rsid w:val="0031136D"/>
    <w:rsid w:val="00313818"/>
    <w:rsid w:val="003178D4"/>
    <w:rsid w:val="00323895"/>
    <w:rsid w:val="00331A2F"/>
    <w:rsid w:val="00335C92"/>
    <w:rsid w:val="003445C4"/>
    <w:rsid w:val="003476F6"/>
    <w:rsid w:val="00347B5C"/>
    <w:rsid w:val="003505E7"/>
    <w:rsid w:val="00355946"/>
    <w:rsid w:val="00355BBA"/>
    <w:rsid w:val="0036692A"/>
    <w:rsid w:val="0037207B"/>
    <w:rsid w:val="00372EAC"/>
    <w:rsid w:val="00374806"/>
    <w:rsid w:val="00374DD0"/>
    <w:rsid w:val="00377B9D"/>
    <w:rsid w:val="00385866"/>
    <w:rsid w:val="003A3528"/>
    <w:rsid w:val="003A4678"/>
    <w:rsid w:val="003A5E84"/>
    <w:rsid w:val="003A6FAE"/>
    <w:rsid w:val="003B41BC"/>
    <w:rsid w:val="003B43A6"/>
    <w:rsid w:val="003B48A3"/>
    <w:rsid w:val="003C0B93"/>
    <w:rsid w:val="003D72E8"/>
    <w:rsid w:val="003E1EE5"/>
    <w:rsid w:val="003E3225"/>
    <w:rsid w:val="003F1C29"/>
    <w:rsid w:val="003F446B"/>
    <w:rsid w:val="003F6274"/>
    <w:rsid w:val="003F6B36"/>
    <w:rsid w:val="00400A0B"/>
    <w:rsid w:val="00401F27"/>
    <w:rsid w:val="00406FB5"/>
    <w:rsid w:val="00412126"/>
    <w:rsid w:val="0041215B"/>
    <w:rsid w:val="004164F2"/>
    <w:rsid w:val="00416D34"/>
    <w:rsid w:val="004237CA"/>
    <w:rsid w:val="00423C0E"/>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634B"/>
    <w:rsid w:val="0049181D"/>
    <w:rsid w:val="00493268"/>
    <w:rsid w:val="004939A2"/>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16C97"/>
    <w:rsid w:val="00520CD3"/>
    <w:rsid w:val="00523A4C"/>
    <w:rsid w:val="005254A1"/>
    <w:rsid w:val="005308E2"/>
    <w:rsid w:val="00534134"/>
    <w:rsid w:val="005363EC"/>
    <w:rsid w:val="00547680"/>
    <w:rsid w:val="0055505D"/>
    <w:rsid w:val="00556AF7"/>
    <w:rsid w:val="00563033"/>
    <w:rsid w:val="005709BE"/>
    <w:rsid w:val="00581C90"/>
    <w:rsid w:val="00585799"/>
    <w:rsid w:val="005924AD"/>
    <w:rsid w:val="005929A4"/>
    <w:rsid w:val="00596543"/>
    <w:rsid w:val="005A0878"/>
    <w:rsid w:val="005A0D4A"/>
    <w:rsid w:val="005A1F6B"/>
    <w:rsid w:val="005A2057"/>
    <w:rsid w:val="005A2E88"/>
    <w:rsid w:val="005A6550"/>
    <w:rsid w:val="005A7911"/>
    <w:rsid w:val="005B4407"/>
    <w:rsid w:val="005B6ACA"/>
    <w:rsid w:val="005B704B"/>
    <w:rsid w:val="005C4CD0"/>
    <w:rsid w:val="005C54B6"/>
    <w:rsid w:val="005C65EC"/>
    <w:rsid w:val="005D0AF5"/>
    <w:rsid w:val="005D4BD3"/>
    <w:rsid w:val="005D6EFA"/>
    <w:rsid w:val="005E089A"/>
    <w:rsid w:val="00602BE1"/>
    <w:rsid w:val="00603A35"/>
    <w:rsid w:val="0061226C"/>
    <w:rsid w:val="00615A94"/>
    <w:rsid w:val="00616CD9"/>
    <w:rsid w:val="006209BB"/>
    <w:rsid w:val="00621632"/>
    <w:rsid w:val="00623D55"/>
    <w:rsid w:val="00623FB7"/>
    <w:rsid w:val="0062461D"/>
    <w:rsid w:val="00631AFA"/>
    <w:rsid w:val="00632938"/>
    <w:rsid w:val="006404FB"/>
    <w:rsid w:val="0064072C"/>
    <w:rsid w:val="00643E7E"/>
    <w:rsid w:val="00646A50"/>
    <w:rsid w:val="0065166B"/>
    <w:rsid w:val="0065395C"/>
    <w:rsid w:val="00654F49"/>
    <w:rsid w:val="006562FB"/>
    <w:rsid w:val="006752C4"/>
    <w:rsid w:val="00675DCB"/>
    <w:rsid w:val="006846E1"/>
    <w:rsid w:val="0068589F"/>
    <w:rsid w:val="006A7150"/>
    <w:rsid w:val="006A7407"/>
    <w:rsid w:val="006B0D98"/>
    <w:rsid w:val="006B4652"/>
    <w:rsid w:val="006B798F"/>
    <w:rsid w:val="006C184D"/>
    <w:rsid w:val="006C5F01"/>
    <w:rsid w:val="006C7C96"/>
    <w:rsid w:val="006D3330"/>
    <w:rsid w:val="006D3474"/>
    <w:rsid w:val="006D4C4E"/>
    <w:rsid w:val="006D4E3B"/>
    <w:rsid w:val="006E2A6E"/>
    <w:rsid w:val="006E3512"/>
    <w:rsid w:val="006E5FAC"/>
    <w:rsid w:val="006F19B9"/>
    <w:rsid w:val="00700103"/>
    <w:rsid w:val="00703975"/>
    <w:rsid w:val="00704510"/>
    <w:rsid w:val="00705BBE"/>
    <w:rsid w:val="007072B7"/>
    <w:rsid w:val="00711AB8"/>
    <w:rsid w:val="00711B63"/>
    <w:rsid w:val="00721417"/>
    <w:rsid w:val="007277F0"/>
    <w:rsid w:val="007350FA"/>
    <w:rsid w:val="00737D28"/>
    <w:rsid w:val="00740617"/>
    <w:rsid w:val="00740966"/>
    <w:rsid w:val="00741992"/>
    <w:rsid w:val="007448A3"/>
    <w:rsid w:val="0074526B"/>
    <w:rsid w:val="00745EE2"/>
    <w:rsid w:val="00747B2F"/>
    <w:rsid w:val="00754C83"/>
    <w:rsid w:val="00761060"/>
    <w:rsid w:val="00761794"/>
    <w:rsid w:val="007620EB"/>
    <w:rsid w:val="007757B0"/>
    <w:rsid w:val="007828BA"/>
    <w:rsid w:val="007962B0"/>
    <w:rsid w:val="007A2198"/>
    <w:rsid w:val="007A6604"/>
    <w:rsid w:val="007B0EAF"/>
    <w:rsid w:val="007B52E7"/>
    <w:rsid w:val="007C06A0"/>
    <w:rsid w:val="007C0BF8"/>
    <w:rsid w:val="007C0C27"/>
    <w:rsid w:val="007C2271"/>
    <w:rsid w:val="007C480E"/>
    <w:rsid w:val="007C6EB1"/>
    <w:rsid w:val="007D3268"/>
    <w:rsid w:val="007D78CC"/>
    <w:rsid w:val="007D7ABD"/>
    <w:rsid w:val="007E2755"/>
    <w:rsid w:val="007E6EC3"/>
    <w:rsid w:val="007F20B6"/>
    <w:rsid w:val="007F5934"/>
    <w:rsid w:val="007F63DD"/>
    <w:rsid w:val="00803F60"/>
    <w:rsid w:val="008056A7"/>
    <w:rsid w:val="0081098E"/>
    <w:rsid w:val="0081374E"/>
    <w:rsid w:val="00820C70"/>
    <w:rsid w:val="00820F0D"/>
    <w:rsid w:val="008327E7"/>
    <w:rsid w:val="00832B42"/>
    <w:rsid w:val="008514CD"/>
    <w:rsid w:val="00852220"/>
    <w:rsid w:val="00856052"/>
    <w:rsid w:val="00860631"/>
    <w:rsid w:val="00863B96"/>
    <w:rsid w:val="00866352"/>
    <w:rsid w:val="008718CB"/>
    <w:rsid w:val="00873550"/>
    <w:rsid w:val="0087390A"/>
    <w:rsid w:val="008878CB"/>
    <w:rsid w:val="00892830"/>
    <w:rsid w:val="0089483C"/>
    <w:rsid w:val="008A2139"/>
    <w:rsid w:val="008A273F"/>
    <w:rsid w:val="008A4C05"/>
    <w:rsid w:val="008A60DF"/>
    <w:rsid w:val="008A68A1"/>
    <w:rsid w:val="008B2F79"/>
    <w:rsid w:val="008B647A"/>
    <w:rsid w:val="008B7CAD"/>
    <w:rsid w:val="008C2244"/>
    <w:rsid w:val="008C2BC3"/>
    <w:rsid w:val="008C4BC6"/>
    <w:rsid w:val="008C5C28"/>
    <w:rsid w:val="008C7ECE"/>
    <w:rsid w:val="008D0FFE"/>
    <w:rsid w:val="008D3FE2"/>
    <w:rsid w:val="008E3526"/>
    <w:rsid w:val="008E3F3F"/>
    <w:rsid w:val="008F2443"/>
    <w:rsid w:val="00900A32"/>
    <w:rsid w:val="00900F8E"/>
    <w:rsid w:val="00902B9A"/>
    <w:rsid w:val="00903EB4"/>
    <w:rsid w:val="0090612D"/>
    <w:rsid w:val="009122C4"/>
    <w:rsid w:val="00912EE8"/>
    <w:rsid w:val="00921E13"/>
    <w:rsid w:val="00923609"/>
    <w:rsid w:val="00926010"/>
    <w:rsid w:val="00946D9C"/>
    <w:rsid w:val="00947806"/>
    <w:rsid w:val="00952CA3"/>
    <w:rsid w:val="00961225"/>
    <w:rsid w:val="00961FF6"/>
    <w:rsid w:val="009638CC"/>
    <w:rsid w:val="00964233"/>
    <w:rsid w:val="00964EBB"/>
    <w:rsid w:val="00971174"/>
    <w:rsid w:val="00971876"/>
    <w:rsid w:val="00976E1A"/>
    <w:rsid w:val="0097724C"/>
    <w:rsid w:val="009812A8"/>
    <w:rsid w:val="00985F0A"/>
    <w:rsid w:val="009956F9"/>
    <w:rsid w:val="00996F31"/>
    <w:rsid w:val="00997AA6"/>
    <w:rsid w:val="009A757C"/>
    <w:rsid w:val="009B3534"/>
    <w:rsid w:val="009C140E"/>
    <w:rsid w:val="009C1AD5"/>
    <w:rsid w:val="009C3C5C"/>
    <w:rsid w:val="009C42DF"/>
    <w:rsid w:val="009C5DD8"/>
    <w:rsid w:val="009D128A"/>
    <w:rsid w:val="009D1F92"/>
    <w:rsid w:val="009D224F"/>
    <w:rsid w:val="009D3C97"/>
    <w:rsid w:val="009D6281"/>
    <w:rsid w:val="009F55A3"/>
    <w:rsid w:val="00A02170"/>
    <w:rsid w:val="00A02531"/>
    <w:rsid w:val="00A076F9"/>
    <w:rsid w:val="00A125EE"/>
    <w:rsid w:val="00A14CEE"/>
    <w:rsid w:val="00A152E6"/>
    <w:rsid w:val="00A176AD"/>
    <w:rsid w:val="00A420F3"/>
    <w:rsid w:val="00A42C34"/>
    <w:rsid w:val="00A46DB7"/>
    <w:rsid w:val="00A471B5"/>
    <w:rsid w:val="00A56828"/>
    <w:rsid w:val="00A578E4"/>
    <w:rsid w:val="00A62B56"/>
    <w:rsid w:val="00A64DD4"/>
    <w:rsid w:val="00A66067"/>
    <w:rsid w:val="00A67916"/>
    <w:rsid w:val="00A73084"/>
    <w:rsid w:val="00A7742C"/>
    <w:rsid w:val="00A83CD9"/>
    <w:rsid w:val="00A85B46"/>
    <w:rsid w:val="00A92F05"/>
    <w:rsid w:val="00A943D7"/>
    <w:rsid w:val="00A97990"/>
    <w:rsid w:val="00AA0454"/>
    <w:rsid w:val="00AA266C"/>
    <w:rsid w:val="00AA5C73"/>
    <w:rsid w:val="00AB12C8"/>
    <w:rsid w:val="00AB1355"/>
    <w:rsid w:val="00AB4D84"/>
    <w:rsid w:val="00AB542A"/>
    <w:rsid w:val="00AB5A1B"/>
    <w:rsid w:val="00AC43BB"/>
    <w:rsid w:val="00AC5CD3"/>
    <w:rsid w:val="00AD2CE5"/>
    <w:rsid w:val="00AD486D"/>
    <w:rsid w:val="00AE18F9"/>
    <w:rsid w:val="00AE61D7"/>
    <w:rsid w:val="00AF1E49"/>
    <w:rsid w:val="00AF3251"/>
    <w:rsid w:val="00B02B85"/>
    <w:rsid w:val="00B03CC4"/>
    <w:rsid w:val="00B04690"/>
    <w:rsid w:val="00B06C8F"/>
    <w:rsid w:val="00B07CB1"/>
    <w:rsid w:val="00B112CE"/>
    <w:rsid w:val="00B17140"/>
    <w:rsid w:val="00B212DE"/>
    <w:rsid w:val="00B21547"/>
    <w:rsid w:val="00B23AED"/>
    <w:rsid w:val="00B26EBC"/>
    <w:rsid w:val="00B31BFE"/>
    <w:rsid w:val="00B36E76"/>
    <w:rsid w:val="00B42682"/>
    <w:rsid w:val="00B52110"/>
    <w:rsid w:val="00B60A31"/>
    <w:rsid w:val="00B669B3"/>
    <w:rsid w:val="00B6716D"/>
    <w:rsid w:val="00B704EA"/>
    <w:rsid w:val="00B712DF"/>
    <w:rsid w:val="00B72333"/>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4829"/>
    <w:rsid w:val="00BB050F"/>
    <w:rsid w:val="00BB28E0"/>
    <w:rsid w:val="00BB5200"/>
    <w:rsid w:val="00BB5460"/>
    <w:rsid w:val="00BC0883"/>
    <w:rsid w:val="00BD596C"/>
    <w:rsid w:val="00BD77D1"/>
    <w:rsid w:val="00BE49F6"/>
    <w:rsid w:val="00BF170F"/>
    <w:rsid w:val="00BF41BE"/>
    <w:rsid w:val="00BF6B34"/>
    <w:rsid w:val="00BF6DF8"/>
    <w:rsid w:val="00C03A45"/>
    <w:rsid w:val="00C03C86"/>
    <w:rsid w:val="00C077F3"/>
    <w:rsid w:val="00C11B8F"/>
    <w:rsid w:val="00C12C43"/>
    <w:rsid w:val="00C23944"/>
    <w:rsid w:val="00C31BE4"/>
    <w:rsid w:val="00C42B32"/>
    <w:rsid w:val="00C50CF5"/>
    <w:rsid w:val="00C614EF"/>
    <w:rsid w:val="00C74480"/>
    <w:rsid w:val="00C83FD0"/>
    <w:rsid w:val="00C920BF"/>
    <w:rsid w:val="00C9454E"/>
    <w:rsid w:val="00CC56BB"/>
    <w:rsid w:val="00CD0ED1"/>
    <w:rsid w:val="00CD7E8E"/>
    <w:rsid w:val="00CE2568"/>
    <w:rsid w:val="00CF1E62"/>
    <w:rsid w:val="00CF4F5E"/>
    <w:rsid w:val="00CF6DDC"/>
    <w:rsid w:val="00D01997"/>
    <w:rsid w:val="00D0393D"/>
    <w:rsid w:val="00D05D6A"/>
    <w:rsid w:val="00D06C2B"/>
    <w:rsid w:val="00D13EBC"/>
    <w:rsid w:val="00D14E14"/>
    <w:rsid w:val="00D20478"/>
    <w:rsid w:val="00D24014"/>
    <w:rsid w:val="00D31B49"/>
    <w:rsid w:val="00D334B1"/>
    <w:rsid w:val="00D44381"/>
    <w:rsid w:val="00D4439A"/>
    <w:rsid w:val="00D4607F"/>
    <w:rsid w:val="00D50072"/>
    <w:rsid w:val="00D564C9"/>
    <w:rsid w:val="00D57FB2"/>
    <w:rsid w:val="00D627FB"/>
    <w:rsid w:val="00D635CD"/>
    <w:rsid w:val="00D6699E"/>
    <w:rsid w:val="00D74E46"/>
    <w:rsid w:val="00D76268"/>
    <w:rsid w:val="00D803CC"/>
    <w:rsid w:val="00D832A8"/>
    <w:rsid w:val="00D91099"/>
    <w:rsid w:val="00D913B9"/>
    <w:rsid w:val="00DA770F"/>
    <w:rsid w:val="00DB5B5F"/>
    <w:rsid w:val="00DB62E5"/>
    <w:rsid w:val="00DC0564"/>
    <w:rsid w:val="00DC0C47"/>
    <w:rsid w:val="00DC6E44"/>
    <w:rsid w:val="00DC7434"/>
    <w:rsid w:val="00DD0AC6"/>
    <w:rsid w:val="00DF0BC3"/>
    <w:rsid w:val="00DF3DA8"/>
    <w:rsid w:val="00DF5426"/>
    <w:rsid w:val="00DF7074"/>
    <w:rsid w:val="00DF76B5"/>
    <w:rsid w:val="00E01B2B"/>
    <w:rsid w:val="00E01B48"/>
    <w:rsid w:val="00E0261E"/>
    <w:rsid w:val="00E0289E"/>
    <w:rsid w:val="00E02DB8"/>
    <w:rsid w:val="00E04362"/>
    <w:rsid w:val="00E23E43"/>
    <w:rsid w:val="00E25DD1"/>
    <w:rsid w:val="00E27B6E"/>
    <w:rsid w:val="00E312ED"/>
    <w:rsid w:val="00E33180"/>
    <w:rsid w:val="00E35F0A"/>
    <w:rsid w:val="00E41CD6"/>
    <w:rsid w:val="00E43E94"/>
    <w:rsid w:val="00E44F57"/>
    <w:rsid w:val="00E45890"/>
    <w:rsid w:val="00E472E2"/>
    <w:rsid w:val="00E476D8"/>
    <w:rsid w:val="00E63BBF"/>
    <w:rsid w:val="00E65773"/>
    <w:rsid w:val="00E66225"/>
    <w:rsid w:val="00E70ED1"/>
    <w:rsid w:val="00E72E6E"/>
    <w:rsid w:val="00E7714B"/>
    <w:rsid w:val="00E8557F"/>
    <w:rsid w:val="00E8797C"/>
    <w:rsid w:val="00E916CC"/>
    <w:rsid w:val="00E91C30"/>
    <w:rsid w:val="00EA67BC"/>
    <w:rsid w:val="00EB1D70"/>
    <w:rsid w:val="00EC7BEE"/>
    <w:rsid w:val="00ED2220"/>
    <w:rsid w:val="00ED2651"/>
    <w:rsid w:val="00ED3607"/>
    <w:rsid w:val="00ED475B"/>
    <w:rsid w:val="00ED6102"/>
    <w:rsid w:val="00EE7432"/>
    <w:rsid w:val="00EF45DE"/>
    <w:rsid w:val="00EF6E76"/>
    <w:rsid w:val="00F02F89"/>
    <w:rsid w:val="00F04A9A"/>
    <w:rsid w:val="00F04FED"/>
    <w:rsid w:val="00F10FBE"/>
    <w:rsid w:val="00F11FC1"/>
    <w:rsid w:val="00F12C34"/>
    <w:rsid w:val="00F17044"/>
    <w:rsid w:val="00F21C79"/>
    <w:rsid w:val="00F21DA1"/>
    <w:rsid w:val="00F242D5"/>
    <w:rsid w:val="00F3120E"/>
    <w:rsid w:val="00F41A52"/>
    <w:rsid w:val="00F4291E"/>
    <w:rsid w:val="00F46CE5"/>
    <w:rsid w:val="00F46D38"/>
    <w:rsid w:val="00F47D35"/>
    <w:rsid w:val="00F629F3"/>
    <w:rsid w:val="00F65930"/>
    <w:rsid w:val="00F70623"/>
    <w:rsid w:val="00F74978"/>
    <w:rsid w:val="00F80BA6"/>
    <w:rsid w:val="00F8697B"/>
    <w:rsid w:val="00F90D44"/>
    <w:rsid w:val="00F94EA8"/>
    <w:rsid w:val="00FA1967"/>
    <w:rsid w:val="00FA3343"/>
    <w:rsid w:val="00FC10EE"/>
    <w:rsid w:val="00FC110E"/>
    <w:rsid w:val="00FC11E5"/>
    <w:rsid w:val="00FC1794"/>
    <w:rsid w:val="00FC5CCE"/>
    <w:rsid w:val="00FD105C"/>
    <w:rsid w:val="00FE0847"/>
    <w:rsid w:val="00FF0B08"/>
    <w:rsid w:val="00FF3172"/>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 w:type="character" w:styleId="aa">
    <w:name w:val="annotation reference"/>
    <w:basedOn w:val="a0"/>
    <w:uiPriority w:val="99"/>
    <w:semiHidden/>
    <w:unhideWhenUsed/>
    <w:rsid w:val="00A7742C"/>
    <w:rPr>
      <w:sz w:val="21"/>
      <w:szCs w:val="21"/>
    </w:rPr>
  </w:style>
  <w:style w:type="paragraph" w:styleId="ab">
    <w:name w:val="annotation text"/>
    <w:basedOn w:val="a"/>
    <w:link w:val="Char2"/>
    <w:uiPriority w:val="99"/>
    <w:semiHidden/>
    <w:unhideWhenUsed/>
    <w:rsid w:val="00A7742C"/>
    <w:pPr>
      <w:jc w:val="left"/>
    </w:pPr>
  </w:style>
  <w:style w:type="character" w:customStyle="1" w:styleId="Char2">
    <w:name w:val="批注文字 Char"/>
    <w:basedOn w:val="a0"/>
    <w:link w:val="ab"/>
    <w:uiPriority w:val="99"/>
    <w:semiHidden/>
    <w:rsid w:val="00A7742C"/>
  </w:style>
  <w:style w:type="paragraph" w:styleId="ac">
    <w:name w:val="annotation subject"/>
    <w:basedOn w:val="ab"/>
    <w:next w:val="ab"/>
    <w:link w:val="Char3"/>
    <w:uiPriority w:val="99"/>
    <w:semiHidden/>
    <w:unhideWhenUsed/>
    <w:rsid w:val="00A7742C"/>
    <w:rPr>
      <w:b/>
      <w:bCs/>
    </w:rPr>
  </w:style>
  <w:style w:type="character" w:customStyle="1" w:styleId="Char3">
    <w:name w:val="批注主题 Char"/>
    <w:basedOn w:val="Char2"/>
    <w:link w:val="ac"/>
    <w:uiPriority w:val="99"/>
    <w:semiHidden/>
    <w:rsid w:val="00A7742C"/>
    <w:rPr>
      <w:b/>
      <w:bCs/>
    </w:rPr>
  </w:style>
  <w:style w:type="paragraph" w:customStyle="1" w:styleId="ListParagraph62b8dbb6-1261-42e4-8a89-4912a948aa2d">
    <w:name w:val="List Paragraph_62b8dbb6-1261-42e4-8a89-4912a948aa2d"/>
    <w:basedOn w:val="a"/>
    <w:uiPriority w:val="34"/>
    <w:qFormat/>
    <w:rsid w:val="003F6274"/>
    <w:pPr>
      <w:ind w:firstLineChars="200" w:firstLine="420"/>
    </w:pPr>
    <w:rPr>
      <w:rFonts w:ascii="Calibri" w:eastAsia="宋体" w:hAnsi="Calibr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s>
</file>

<file path=word/webSettings.xml><?xml version="1.0" encoding="utf-8"?>
<w:webSettings xmlns:r="http://schemas.openxmlformats.org/officeDocument/2006/relationships" xmlns:w="http://schemas.openxmlformats.org/wordprocessingml/2006/main">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0F7F-F056-417E-84D2-DA3AB499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276</Words>
  <Characters>1575</Characters>
  <Application>Microsoft Office Word</Application>
  <DocSecurity>0</DocSecurity>
  <Lines>13</Lines>
  <Paragraphs>3</Paragraphs>
  <ScaleCrop>false</ScaleCrop>
  <Company>WwW.YlmF.CoM</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16</cp:revision>
  <cp:lastPrinted>2012-12-03T06:27:00Z</cp:lastPrinted>
  <dcterms:created xsi:type="dcterms:W3CDTF">2016-12-30T04:43:00Z</dcterms:created>
  <dcterms:modified xsi:type="dcterms:W3CDTF">2017-01-13T04:02:00Z</dcterms:modified>
</cp:coreProperties>
</file>