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59D" w:rsidRPr="00043C99" w:rsidRDefault="00F8459D" w:rsidP="0034770D">
      <w:pPr>
        <w:spacing w:beforeLines="50" w:afterLines="50" w:line="400" w:lineRule="exact"/>
        <w:ind w:firstLineChars="200" w:firstLine="480"/>
        <w:rPr>
          <w:rFonts w:ascii="宋体" w:hAnsi="宋体"/>
          <w:bCs/>
          <w:iCs/>
          <w:color w:val="000000"/>
          <w:sz w:val="24"/>
        </w:rPr>
      </w:pPr>
      <w:r w:rsidRPr="00043C99">
        <w:rPr>
          <w:rFonts w:ascii="宋体" w:hAnsi="宋体" w:hint="eastAsia"/>
          <w:bCs/>
          <w:iCs/>
          <w:color w:val="000000"/>
          <w:sz w:val="24"/>
        </w:rPr>
        <w:t>证券代码：</w:t>
      </w:r>
      <w:r w:rsidR="00BE256A" w:rsidRPr="00043C99">
        <w:rPr>
          <w:rFonts w:ascii="宋体" w:hAnsi="宋体" w:hint="eastAsia"/>
          <w:bCs/>
          <w:iCs/>
          <w:color w:val="000000"/>
          <w:sz w:val="24"/>
        </w:rPr>
        <w:t>000008</w:t>
      </w:r>
      <w:r w:rsidRPr="00043C99">
        <w:rPr>
          <w:rFonts w:ascii="宋体" w:hAnsi="宋体" w:hint="eastAsia"/>
          <w:bCs/>
          <w:iCs/>
          <w:color w:val="000000"/>
          <w:sz w:val="24"/>
        </w:rPr>
        <w:t xml:space="preserve">                     </w:t>
      </w:r>
      <w:r w:rsidR="0034770D">
        <w:rPr>
          <w:rFonts w:ascii="宋体" w:hAnsi="宋体" w:hint="eastAsia"/>
          <w:bCs/>
          <w:iCs/>
          <w:color w:val="000000"/>
          <w:sz w:val="24"/>
        </w:rPr>
        <w:t xml:space="preserve">      </w:t>
      </w:r>
      <w:r w:rsidRPr="00043C99">
        <w:rPr>
          <w:rFonts w:ascii="宋体" w:hAnsi="宋体" w:hint="eastAsia"/>
          <w:bCs/>
          <w:iCs/>
          <w:color w:val="000000"/>
          <w:sz w:val="24"/>
        </w:rPr>
        <w:t>证券简称：</w:t>
      </w:r>
      <w:r w:rsidR="00BE256A" w:rsidRPr="00043C99">
        <w:rPr>
          <w:rFonts w:ascii="宋体" w:hAnsi="宋体" w:hint="eastAsia"/>
          <w:bCs/>
          <w:iCs/>
          <w:color w:val="000000"/>
          <w:sz w:val="24"/>
        </w:rPr>
        <w:t>神州高铁</w:t>
      </w:r>
    </w:p>
    <w:p w:rsidR="00F8459D" w:rsidRPr="00043C99" w:rsidRDefault="00BE256A" w:rsidP="00313382">
      <w:pPr>
        <w:spacing w:beforeLines="50" w:afterLines="50" w:line="400" w:lineRule="exact"/>
        <w:jc w:val="center"/>
        <w:rPr>
          <w:rFonts w:ascii="宋体" w:hAnsi="宋体"/>
          <w:b/>
          <w:bCs/>
          <w:iCs/>
          <w:color w:val="000000"/>
          <w:sz w:val="32"/>
          <w:szCs w:val="32"/>
        </w:rPr>
      </w:pPr>
      <w:r w:rsidRPr="00043C99">
        <w:rPr>
          <w:rFonts w:ascii="宋体" w:hAnsi="宋体" w:hint="eastAsia"/>
          <w:b/>
          <w:bCs/>
          <w:iCs/>
          <w:color w:val="000000"/>
          <w:sz w:val="32"/>
          <w:szCs w:val="32"/>
        </w:rPr>
        <w:t>神州高</w:t>
      </w:r>
      <w:proofErr w:type="gramStart"/>
      <w:r w:rsidRPr="00043C99">
        <w:rPr>
          <w:rFonts w:ascii="宋体" w:hAnsi="宋体" w:hint="eastAsia"/>
          <w:b/>
          <w:bCs/>
          <w:iCs/>
          <w:color w:val="000000"/>
          <w:sz w:val="32"/>
          <w:szCs w:val="32"/>
        </w:rPr>
        <w:t>铁技术</w:t>
      </w:r>
      <w:proofErr w:type="gramEnd"/>
      <w:r w:rsidR="00F8459D" w:rsidRPr="00043C99">
        <w:rPr>
          <w:rFonts w:ascii="宋体" w:hAnsi="宋体" w:hint="eastAsia"/>
          <w:b/>
          <w:bCs/>
          <w:iCs/>
          <w:color w:val="000000"/>
          <w:sz w:val="32"/>
          <w:szCs w:val="32"/>
        </w:rPr>
        <w:t>股份有限公司投资者关系活动记录表</w:t>
      </w:r>
    </w:p>
    <w:p w:rsidR="00F8459D" w:rsidRPr="00043C99" w:rsidRDefault="00F8459D" w:rsidP="00F8459D">
      <w:pPr>
        <w:spacing w:line="400" w:lineRule="exact"/>
        <w:rPr>
          <w:rFonts w:ascii="宋体" w:hAnsi="宋体"/>
          <w:bCs/>
          <w:iCs/>
          <w:color w:val="000000"/>
          <w:sz w:val="24"/>
        </w:rPr>
      </w:pPr>
      <w:r w:rsidRPr="00043C99">
        <w:rPr>
          <w:rFonts w:ascii="宋体" w:hAnsi="宋体" w:hint="eastAsia"/>
          <w:bCs/>
          <w:iCs/>
          <w:color w:val="000000"/>
          <w:sz w:val="24"/>
        </w:rPr>
        <w:t xml:space="preserve">                                                         编号：</w:t>
      </w:r>
      <w:r w:rsidR="00161042" w:rsidRPr="00043C99">
        <w:rPr>
          <w:rFonts w:ascii="宋体" w:hAnsi="宋体" w:hint="eastAsia"/>
          <w:bCs/>
          <w:iCs/>
          <w:color w:val="000000"/>
          <w:sz w:val="24"/>
        </w:rPr>
        <w:t>201</w:t>
      </w:r>
      <w:r w:rsidR="00BD3A67">
        <w:rPr>
          <w:rFonts w:ascii="宋体" w:hAnsi="宋体"/>
          <w:bCs/>
          <w:iCs/>
          <w:color w:val="000000"/>
          <w:sz w:val="24"/>
        </w:rPr>
        <w:t>7</w:t>
      </w:r>
      <w:r w:rsidR="00161042" w:rsidRPr="00043C99">
        <w:rPr>
          <w:rFonts w:ascii="宋体" w:hAnsi="宋体" w:hint="eastAsia"/>
          <w:bCs/>
          <w:iCs/>
          <w:color w:val="000000"/>
          <w:sz w:val="24"/>
        </w:rPr>
        <w:t>00</w:t>
      </w:r>
      <w:r w:rsidR="00BD3A67">
        <w:rPr>
          <w:rFonts w:ascii="宋体" w:hAnsi="宋体"/>
          <w:bCs/>
          <w:iCs/>
          <w:color w:val="000000"/>
          <w:sz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614"/>
      </w:tblGrid>
      <w:tr w:rsidR="00F8459D" w:rsidRPr="00043C99" w:rsidTr="00862E11">
        <w:tc>
          <w:tcPr>
            <w:tcW w:w="1908" w:type="dxa"/>
            <w:tcBorders>
              <w:top w:val="single" w:sz="4" w:space="0" w:color="auto"/>
              <w:left w:val="single" w:sz="4" w:space="0" w:color="auto"/>
              <w:bottom w:val="single" w:sz="4" w:space="0" w:color="auto"/>
              <w:right w:val="single" w:sz="4" w:space="0" w:color="auto"/>
            </w:tcBorders>
            <w:shd w:val="clear" w:color="auto" w:fill="auto"/>
          </w:tcPr>
          <w:p w:rsidR="00F8459D" w:rsidRPr="00043C99" w:rsidRDefault="00F8459D" w:rsidP="00862E11">
            <w:pPr>
              <w:spacing w:line="480" w:lineRule="atLeast"/>
              <w:rPr>
                <w:rFonts w:ascii="宋体" w:hAnsi="宋体"/>
                <w:bCs/>
                <w:iCs/>
                <w:color w:val="000000"/>
                <w:sz w:val="24"/>
              </w:rPr>
            </w:pPr>
            <w:r w:rsidRPr="00043C99">
              <w:rPr>
                <w:rFonts w:ascii="宋体" w:hAnsi="宋体" w:hint="eastAsia"/>
                <w:bCs/>
                <w:iCs/>
                <w:color w:val="000000"/>
                <w:sz w:val="24"/>
              </w:rPr>
              <w:t>投资者关系活动类别</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F8459D" w:rsidRPr="00043C99" w:rsidRDefault="00702A9A" w:rsidP="00862E11">
            <w:pPr>
              <w:spacing w:line="480" w:lineRule="atLeast"/>
              <w:rPr>
                <w:rFonts w:ascii="宋体" w:hAnsi="宋体"/>
                <w:bCs/>
                <w:iCs/>
                <w:color w:val="000000"/>
                <w:sz w:val="24"/>
              </w:rPr>
            </w:pPr>
            <w:r w:rsidRPr="00043C99">
              <w:rPr>
                <w:rFonts w:ascii="宋体" w:hAnsi="宋体" w:hint="eastAsia"/>
                <w:bCs/>
                <w:iCs/>
                <w:color w:val="000000"/>
                <w:sz w:val="24"/>
              </w:rPr>
              <w:t>■</w:t>
            </w:r>
            <w:r w:rsidR="00F8459D" w:rsidRPr="0048453C">
              <w:rPr>
                <w:rFonts w:ascii="宋体" w:hAnsi="宋体" w:hint="eastAsia"/>
                <w:bCs/>
                <w:iCs/>
                <w:color w:val="000000"/>
                <w:sz w:val="24"/>
              </w:rPr>
              <w:t xml:space="preserve">特定对象调研        </w:t>
            </w:r>
            <w:r w:rsidR="00F8459D" w:rsidRPr="00043C99">
              <w:rPr>
                <w:rFonts w:ascii="宋体" w:hAnsi="宋体" w:hint="eastAsia"/>
                <w:bCs/>
                <w:iCs/>
                <w:color w:val="000000"/>
                <w:sz w:val="24"/>
              </w:rPr>
              <w:t>□</w:t>
            </w:r>
            <w:r w:rsidR="00F8459D" w:rsidRPr="0048453C">
              <w:rPr>
                <w:rFonts w:ascii="宋体" w:hAnsi="宋体" w:hint="eastAsia"/>
                <w:bCs/>
                <w:iCs/>
                <w:color w:val="000000"/>
                <w:sz w:val="24"/>
              </w:rPr>
              <w:t>分析师会议</w:t>
            </w:r>
          </w:p>
          <w:p w:rsidR="00F8459D" w:rsidRPr="00043C99" w:rsidRDefault="00F8459D" w:rsidP="00862E11">
            <w:pPr>
              <w:spacing w:line="480" w:lineRule="atLeast"/>
              <w:rPr>
                <w:rFonts w:ascii="宋体" w:hAnsi="宋体"/>
                <w:bCs/>
                <w:iCs/>
                <w:color w:val="000000"/>
                <w:sz w:val="24"/>
              </w:rPr>
            </w:pPr>
            <w:r w:rsidRPr="00043C99">
              <w:rPr>
                <w:rFonts w:ascii="宋体" w:hAnsi="宋体" w:hint="eastAsia"/>
                <w:bCs/>
                <w:iCs/>
                <w:color w:val="000000"/>
                <w:sz w:val="24"/>
              </w:rPr>
              <w:t>□</w:t>
            </w:r>
            <w:r w:rsidRPr="0048453C">
              <w:rPr>
                <w:rFonts w:ascii="宋体" w:hAnsi="宋体" w:hint="eastAsia"/>
                <w:bCs/>
                <w:iCs/>
                <w:color w:val="000000"/>
                <w:sz w:val="24"/>
              </w:rPr>
              <w:t xml:space="preserve">媒体采访            </w:t>
            </w:r>
            <w:r w:rsidRPr="00043C99">
              <w:rPr>
                <w:rFonts w:ascii="宋体" w:hAnsi="宋体" w:hint="eastAsia"/>
                <w:bCs/>
                <w:iCs/>
                <w:color w:val="000000"/>
                <w:sz w:val="24"/>
              </w:rPr>
              <w:t>□</w:t>
            </w:r>
            <w:r w:rsidRPr="0048453C">
              <w:rPr>
                <w:rFonts w:ascii="宋体" w:hAnsi="宋体" w:hint="eastAsia"/>
                <w:bCs/>
                <w:iCs/>
                <w:color w:val="000000"/>
                <w:sz w:val="24"/>
              </w:rPr>
              <w:t>业绩说明会</w:t>
            </w:r>
          </w:p>
          <w:p w:rsidR="00F8459D" w:rsidRPr="00043C99" w:rsidRDefault="00F8459D" w:rsidP="00862E11">
            <w:pPr>
              <w:spacing w:line="480" w:lineRule="atLeast"/>
              <w:rPr>
                <w:rFonts w:ascii="宋体" w:hAnsi="宋体"/>
                <w:bCs/>
                <w:iCs/>
                <w:color w:val="000000"/>
                <w:sz w:val="24"/>
              </w:rPr>
            </w:pPr>
            <w:r w:rsidRPr="00043C99">
              <w:rPr>
                <w:rFonts w:ascii="宋体" w:hAnsi="宋体" w:hint="eastAsia"/>
                <w:bCs/>
                <w:iCs/>
                <w:color w:val="000000"/>
                <w:sz w:val="24"/>
              </w:rPr>
              <w:t>□</w:t>
            </w:r>
            <w:r w:rsidRPr="0048453C">
              <w:rPr>
                <w:rFonts w:ascii="宋体" w:hAnsi="宋体" w:hint="eastAsia"/>
                <w:bCs/>
                <w:iCs/>
                <w:color w:val="000000"/>
                <w:sz w:val="24"/>
              </w:rPr>
              <w:t xml:space="preserve">新闻发布会          </w:t>
            </w:r>
            <w:r w:rsidRPr="00043C99">
              <w:rPr>
                <w:rFonts w:ascii="宋体" w:hAnsi="宋体" w:hint="eastAsia"/>
                <w:bCs/>
                <w:iCs/>
                <w:color w:val="000000"/>
                <w:sz w:val="24"/>
              </w:rPr>
              <w:t>□</w:t>
            </w:r>
            <w:r w:rsidRPr="0048453C">
              <w:rPr>
                <w:rFonts w:ascii="宋体" w:hAnsi="宋体" w:hint="eastAsia"/>
                <w:bCs/>
                <w:iCs/>
                <w:color w:val="000000"/>
                <w:sz w:val="24"/>
              </w:rPr>
              <w:t>路演活动</w:t>
            </w:r>
          </w:p>
          <w:p w:rsidR="00F8459D" w:rsidRPr="00043C99" w:rsidRDefault="00F8459D" w:rsidP="00862E11">
            <w:pPr>
              <w:tabs>
                <w:tab w:val="left" w:pos="3045"/>
                <w:tab w:val="center" w:pos="3199"/>
              </w:tabs>
              <w:spacing w:line="480" w:lineRule="atLeast"/>
              <w:rPr>
                <w:rFonts w:ascii="宋体" w:hAnsi="宋体"/>
                <w:bCs/>
                <w:iCs/>
                <w:color w:val="000000"/>
                <w:sz w:val="24"/>
              </w:rPr>
            </w:pPr>
            <w:r w:rsidRPr="00043C99">
              <w:rPr>
                <w:rFonts w:ascii="宋体" w:hAnsi="宋体" w:hint="eastAsia"/>
                <w:bCs/>
                <w:iCs/>
                <w:color w:val="000000"/>
                <w:sz w:val="24"/>
              </w:rPr>
              <w:t>□</w:t>
            </w:r>
            <w:r w:rsidRPr="0048453C">
              <w:rPr>
                <w:rFonts w:ascii="宋体" w:hAnsi="宋体" w:hint="eastAsia"/>
                <w:bCs/>
                <w:iCs/>
                <w:color w:val="000000"/>
                <w:sz w:val="24"/>
              </w:rPr>
              <w:t>现场参观</w:t>
            </w:r>
            <w:r w:rsidRPr="00043C99">
              <w:rPr>
                <w:rFonts w:ascii="宋体" w:hAnsi="宋体" w:hint="eastAsia"/>
                <w:bCs/>
                <w:iCs/>
                <w:color w:val="000000"/>
                <w:sz w:val="24"/>
              </w:rPr>
              <w:tab/>
            </w:r>
          </w:p>
          <w:p w:rsidR="00F8459D" w:rsidRPr="00043C99" w:rsidRDefault="00F8459D" w:rsidP="00862E11">
            <w:pPr>
              <w:tabs>
                <w:tab w:val="center" w:pos="3199"/>
              </w:tabs>
              <w:spacing w:line="480" w:lineRule="atLeast"/>
              <w:rPr>
                <w:rFonts w:ascii="宋体" w:hAnsi="宋体"/>
                <w:bCs/>
                <w:iCs/>
                <w:color w:val="000000"/>
                <w:sz w:val="24"/>
              </w:rPr>
            </w:pPr>
            <w:r w:rsidRPr="00043C99">
              <w:rPr>
                <w:rFonts w:ascii="宋体" w:hAnsi="宋体" w:hint="eastAsia"/>
                <w:bCs/>
                <w:iCs/>
                <w:color w:val="000000"/>
                <w:sz w:val="24"/>
              </w:rPr>
              <w:t>□</w:t>
            </w:r>
            <w:r w:rsidRPr="0048453C">
              <w:rPr>
                <w:rFonts w:ascii="宋体" w:hAnsi="宋体" w:hint="eastAsia"/>
                <w:bCs/>
                <w:iCs/>
                <w:color w:val="000000"/>
                <w:sz w:val="24"/>
              </w:rPr>
              <w:t>其他 （</w:t>
            </w:r>
            <w:proofErr w:type="gramStart"/>
            <w:r w:rsidRPr="0048453C">
              <w:rPr>
                <w:rFonts w:ascii="宋体" w:hAnsi="宋体" w:hint="eastAsia"/>
                <w:bCs/>
                <w:iCs/>
                <w:color w:val="000000"/>
                <w:sz w:val="24"/>
              </w:rPr>
              <w:t>请文字</w:t>
            </w:r>
            <w:proofErr w:type="gramEnd"/>
            <w:r w:rsidRPr="0048453C">
              <w:rPr>
                <w:rFonts w:ascii="宋体" w:hAnsi="宋体" w:hint="eastAsia"/>
                <w:bCs/>
                <w:iCs/>
                <w:color w:val="000000"/>
                <w:sz w:val="24"/>
              </w:rPr>
              <w:t>说明其他活动内容）</w:t>
            </w:r>
          </w:p>
        </w:tc>
      </w:tr>
      <w:tr w:rsidR="00F8459D" w:rsidRPr="00043C99" w:rsidTr="00862E11">
        <w:tc>
          <w:tcPr>
            <w:tcW w:w="1908" w:type="dxa"/>
            <w:tcBorders>
              <w:top w:val="single" w:sz="4" w:space="0" w:color="auto"/>
              <w:left w:val="single" w:sz="4" w:space="0" w:color="auto"/>
              <w:bottom w:val="single" w:sz="4" w:space="0" w:color="auto"/>
              <w:right w:val="single" w:sz="4" w:space="0" w:color="auto"/>
            </w:tcBorders>
            <w:shd w:val="clear" w:color="auto" w:fill="auto"/>
          </w:tcPr>
          <w:p w:rsidR="00F8459D" w:rsidRPr="00043C99" w:rsidRDefault="00F8459D" w:rsidP="0013653A">
            <w:pPr>
              <w:spacing w:line="480" w:lineRule="atLeast"/>
              <w:rPr>
                <w:rFonts w:ascii="宋体" w:hAnsi="宋体"/>
                <w:bCs/>
                <w:iCs/>
                <w:color w:val="000000"/>
                <w:sz w:val="24"/>
              </w:rPr>
            </w:pPr>
            <w:r w:rsidRPr="00043C99">
              <w:rPr>
                <w:rFonts w:ascii="宋体" w:hAnsi="宋体" w:hint="eastAsia"/>
                <w:bCs/>
                <w:iCs/>
                <w:color w:val="000000"/>
                <w:sz w:val="24"/>
              </w:rPr>
              <w:t>参与人员</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10BA9" w:rsidRPr="00043C99" w:rsidRDefault="00D262EF" w:rsidP="00DC3E16">
            <w:pPr>
              <w:spacing w:line="480" w:lineRule="atLeast"/>
              <w:rPr>
                <w:rFonts w:ascii="宋体" w:hAnsi="宋体"/>
                <w:bCs/>
                <w:iCs/>
                <w:color w:val="000000"/>
                <w:sz w:val="24"/>
              </w:rPr>
            </w:pPr>
            <w:r>
              <w:rPr>
                <w:rFonts w:ascii="宋体" w:hAnsi="宋体" w:hint="eastAsia"/>
                <w:bCs/>
                <w:iCs/>
                <w:color w:val="000000"/>
                <w:sz w:val="24"/>
              </w:rPr>
              <w:t>华泰证券、天风证券、安信证券、中信证券、民生证券、银河证券、中金公司、财通基金、华夏基金、华商基金、</w:t>
            </w:r>
            <w:r w:rsidR="00D72091">
              <w:rPr>
                <w:rFonts w:ascii="宋体" w:hAnsi="宋体" w:hint="eastAsia"/>
                <w:bCs/>
                <w:iCs/>
                <w:color w:val="000000"/>
                <w:sz w:val="24"/>
              </w:rPr>
              <w:t>长盛基金、</w:t>
            </w:r>
            <w:r>
              <w:rPr>
                <w:rFonts w:ascii="宋体" w:hAnsi="宋体" w:hint="eastAsia"/>
                <w:bCs/>
                <w:iCs/>
                <w:color w:val="000000"/>
                <w:sz w:val="24"/>
              </w:rPr>
              <w:t>建信基金、富国基金、</w:t>
            </w:r>
            <w:r w:rsidR="00E748F2">
              <w:rPr>
                <w:rFonts w:ascii="宋体" w:hAnsi="宋体" w:hint="eastAsia"/>
                <w:bCs/>
                <w:iCs/>
                <w:color w:val="000000"/>
                <w:sz w:val="24"/>
              </w:rPr>
              <w:t>信业基金、</w:t>
            </w:r>
            <w:r>
              <w:rPr>
                <w:rFonts w:ascii="宋体" w:hAnsi="宋体" w:hint="eastAsia"/>
                <w:bCs/>
                <w:iCs/>
                <w:color w:val="000000"/>
                <w:sz w:val="24"/>
              </w:rPr>
              <w:t>国信证券、国都证券、方正证券、柏恩投资、人保资本、</w:t>
            </w:r>
            <w:proofErr w:type="gramStart"/>
            <w:r>
              <w:rPr>
                <w:rFonts w:ascii="宋体" w:hAnsi="宋体" w:hint="eastAsia"/>
                <w:bCs/>
                <w:iCs/>
                <w:color w:val="000000"/>
                <w:sz w:val="24"/>
              </w:rPr>
              <w:t>国投瑞银</w:t>
            </w:r>
            <w:proofErr w:type="gramEnd"/>
            <w:r>
              <w:rPr>
                <w:rFonts w:ascii="宋体" w:hAnsi="宋体" w:hint="eastAsia"/>
                <w:bCs/>
                <w:iCs/>
                <w:color w:val="000000"/>
                <w:sz w:val="24"/>
              </w:rPr>
              <w:t>、渤海华美、阳关保险、神农投资、</w:t>
            </w:r>
            <w:proofErr w:type="gramStart"/>
            <w:r>
              <w:rPr>
                <w:rFonts w:ascii="宋体" w:hAnsi="宋体" w:hint="eastAsia"/>
                <w:bCs/>
                <w:iCs/>
                <w:color w:val="000000"/>
                <w:sz w:val="24"/>
              </w:rPr>
              <w:t>光证资管、中融</w:t>
            </w:r>
            <w:proofErr w:type="gramEnd"/>
            <w:r>
              <w:rPr>
                <w:rFonts w:ascii="宋体" w:hAnsi="宋体" w:hint="eastAsia"/>
                <w:bCs/>
                <w:iCs/>
                <w:color w:val="000000"/>
                <w:sz w:val="24"/>
              </w:rPr>
              <w:t>股份、万银华富、宏信资本、鸿商资本、新思哲投资、</w:t>
            </w:r>
            <w:r>
              <w:rPr>
                <w:rFonts w:asciiTheme="minorEastAsia" w:hAnsiTheme="minorEastAsia" w:hint="eastAsia"/>
                <w:sz w:val="24"/>
              </w:rPr>
              <w:t>华菁资管、鼎和</w:t>
            </w:r>
            <w:proofErr w:type="gramStart"/>
            <w:r>
              <w:rPr>
                <w:rFonts w:asciiTheme="minorEastAsia" w:hAnsiTheme="minorEastAsia" w:hint="eastAsia"/>
                <w:sz w:val="24"/>
              </w:rPr>
              <w:t>源投资</w:t>
            </w:r>
            <w:proofErr w:type="gramEnd"/>
            <w:r>
              <w:rPr>
                <w:rFonts w:asciiTheme="minorEastAsia" w:hAnsiTheme="minorEastAsia" w:hint="eastAsia"/>
                <w:sz w:val="24"/>
              </w:rPr>
              <w:t>、</w:t>
            </w:r>
            <w:proofErr w:type="gramStart"/>
            <w:r w:rsidRPr="003E7AD9">
              <w:rPr>
                <w:rFonts w:asciiTheme="minorEastAsia" w:hAnsiTheme="minorEastAsia" w:hint="eastAsia"/>
                <w:sz w:val="24"/>
              </w:rPr>
              <w:t>泓德基金</w:t>
            </w:r>
            <w:proofErr w:type="gramEnd"/>
            <w:r>
              <w:rPr>
                <w:rFonts w:asciiTheme="minorEastAsia" w:hAnsiTheme="minorEastAsia" w:hint="eastAsia"/>
                <w:sz w:val="24"/>
              </w:rPr>
              <w:t>、</w:t>
            </w:r>
            <w:r w:rsidRPr="003E7AD9">
              <w:rPr>
                <w:rFonts w:asciiTheme="minorEastAsia" w:hAnsiTheme="minorEastAsia" w:hint="eastAsia"/>
                <w:sz w:val="24"/>
              </w:rPr>
              <w:t>信诚人寿</w:t>
            </w:r>
            <w:r>
              <w:rPr>
                <w:rFonts w:asciiTheme="minorEastAsia" w:hAnsiTheme="minorEastAsia" w:hint="eastAsia"/>
                <w:sz w:val="24"/>
              </w:rPr>
              <w:t>、</w:t>
            </w:r>
            <w:r w:rsidRPr="003E7AD9">
              <w:rPr>
                <w:rFonts w:asciiTheme="minorEastAsia" w:hAnsiTheme="minorEastAsia" w:hint="eastAsia"/>
                <w:sz w:val="24"/>
              </w:rPr>
              <w:t>盛世景投资</w:t>
            </w:r>
            <w:r w:rsidR="0034770D">
              <w:rPr>
                <w:rFonts w:asciiTheme="minorEastAsia" w:hAnsiTheme="minorEastAsia" w:hint="eastAsia"/>
                <w:sz w:val="24"/>
              </w:rPr>
              <w:t>、</w:t>
            </w:r>
            <w:r>
              <w:rPr>
                <w:rFonts w:ascii="宋体" w:hAnsi="宋体" w:hint="eastAsia"/>
                <w:bCs/>
                <w:iCs/>
                <w:color w:val="000000"/>
                <w:sz w:val="24"/>
              </w:rPr>
              <w:t>青岛城投金控、平安银行、甘肃银行、</w:t>
            </w:r>
            <w:proofErr w:type="gramStart"/>
            <w:r>
              <w:rPr>
                <w:rFonts w:ascii="宋体" w:hAnsi="宋体" w:hint="eastAsia"/>
                <w:bCs/>
                <w:iCs/>
                <w:color w:val="000000"/>
                <w:sz w:val="24"/>
              </w:rPr>
              <w:t>华软资本</w:t>
            </w:r>
            <w:proofErr w:type="gramEnd"/>
            <w:r>
              <w:rPr>
                <w:rFonts w:ascii="宋体" w:hAnsi="宋体" w:hint="eastAsia"/>
                <w:bCs/>
                <w:iCs/>
                <w:color w:val="000000"/>
                <w:sz w:val="24"/>
              </w:rPr>
              <w:t>、国润投资等</w:t>
            </w:r>
          </w:p>
        </w:tc>
      </w:tr>
      <w:tr w:rsidR="00F8459D" w:rsidRPr="00043C99" w:rsidTr="00A77F60">
        <w:trPr>
          <w:trHeight w:val="596"/>
        </w:trPr>
        <w:tc>
          <w:tcPr>
            <w:tcW w:w="1908" w:type="dxa"/>
            <w:tcBorders>
              <w:top w:val="single" w:sz="4" w:space="0" w:color="auto"/>
              <w:left w:val="single" w:sz="4" w:space="0" w:color="auto"/>
              <w:bottom w:val="single" w:sz="4" w:space="0" w:color="auto"/>
              <w:right w:val="single" w:sz="4" w:space="0" w:color="auto"/>
            </w:tcBorders>
            <w:shd w:val="clear" w:color="auto" w:fill="auto"/>
          </w:tcPr>
          <w:p w:rsidR="00F8459D" w:rsidRPr="00043C99" w:rsidRDefault="00F8459D" w:rsidP="00862E11">
            <w:pPr>
              <w:spacing w:line="480" w:lineRule="atLeast"/>
              <w:rPr>
                <w:rFonts w:ascii="宋体" w:hAnsi="宋体"/>
                <w:bCs/>
                <w:iCs/>
                <w:color w:val="000000"/>
                <w:sz w:val="24"/>
              </w:rPr>
            </w:pPr>
            <w:r w:rsidRPr="00043C99">
              <w:rPr>
                <w:rFonts w:ascii="宋体" w:hAnsi="宋体" w:hint="eastAsia"/>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F8459D" w:rsidRPr="00043C99" w:rsidRDefault="00DB2850" w:rsidP="003C420A">
            <w:pPr>
              <w:spacing w:line="480" w:lineRule="atLeast"/>
              <w:rPr>
                <w:rFonts w:ascii="宋体" w:hAnsi="宋体"/>
                <w:bCs/>
                <w:iCs/>
                <w:color w:val="000000"/>
                <w:sz w:val="24"/>
              </w:rPr>
            </w:pPr>
            <w:r w:rsidRPr="00043C99">
              <w:rPr>
                <w:rFonts w:ascii="宋体" w:hAnsi="宋体" w:hint="eastAsia"/>
                <w:bCs/>
                <w:iCs/>
                <w:color w:val="000000"/>
                <w:sz w:val="24"/>
              </w:rPr>
              <w:t>201</w:t>
            </w:r>
            <w:r w:rsidR="00BD3A67">
              <w:rPr>
                <w:rFonts w:ascii="宋体" w:hAnsi="宋体"/>
                <w:bCs/>
                <w:iCs/>
                <w:color w:val="000000"/>
                <w:sz w:val="24"/>
              </w:rPr>
              <w:t>7</w:t>
            </w:r>
            <w:r w:rsidR="003C420A">
              <w:rPr>
                <w:rFonts w:ascii="宋体" w:hAnsi="宋体" w:hint="eastAsia"/>
                <w:bCs/>
                <w:iCs/>
                <w:color w:val="000000"/>
                <w:sz w:val="24"/>
              </w:rPr>
              <w:t>年</w:t>
            </w:r>
            <w:r w:rsidR="003046C9">
              <w:rPr>
                <w:rFonts w:ascii="宋体" w:hAnsi="宋体"/>
                <w:bCs/>
                <w:iCs/>
                <w:color w:val="000000"/>
                <w:sz w:val="24"/>
              </w:rPr>
              <w:t>1</w:t>
            </w:r>
            <w:r w:rsidR="003C420A">
              <w:rPr>
                <w:rFonts w:ascii="宋体" w:hAnsi="宋体" w:hint="eastAsia"/>
                <w:bCs/>
                <w:iCs/>
                <w:color w:val="000000"/>
                <w:sz w:val="24"/>
              </w:rPr>
              <w:t>月</w:t>
            </w:r>
            <w:r w:rsidR="00BD3A67">
              <w:rPr>
                <w:rFonts w:ascii="宋体" w:hAnsi="宋体"/>
                <w:bCs/>
                <w:iCs/>
                <w:color w:val="000000"/>
                <w:sz w:val="24"/>
              </w:rPr>
              <w:t>12</w:t>
            </w:r>
            <w:r w:rsidR="003C420A">
              <w:rPr>
                <w:rFonts w:ascii="宋体" w:hAnsi="宋体" w:hint="eastAsia"/>
                <w:bCs/>
                <w:iCs/>
                <w:color w:val="000000"/>
                <w:sz w:val="24"/>
              </w:rPr>
              <w:t>日15:30</w:t>
            </w:r>
          </w:p>
        </w:tc>
      </w:tr>
      <w:tr w:rsidR="00F8459D" w:rsidRPr="00043C99" w:rsidTr="00A77F60">
        <w:trPr>
          <w:trHeight w:val="562"/>
        </w:trPr>
        <w:tc>
          <w:tcPr>
            <w:tcW w:w="1908" w:type="dxa"/>
            <w:tcBorders>
              <w:top w:val="single" w:sz="4" w:space="0" w:color="auto"/>
              <w:left w:val="single" w:sz="4" w:space="0" w:color="auto"/>
              <w:bottom w:val="single" w:sz="4" w:space="0" w:color="auto"/>
              <w:right w:val="single" w:sz="4" w:space="0" w:color="auto"/>
            </w:tcBorders>
            <w:shd w:val="clear" w:color="auto" w:fill="auto"/>
          </w:tcPr>
          <w:p w:rsidR="00F8459D" w:rsidRPr="00043C99" w:rsidRDefault="00F8459D" w:rsidP="00862E11">
            <w:pPr>
              <w:spacing w:line="480" w:lineRule="atLeast"/>
              <w:rPr>
                <w:rFonts w:ascii="宋体" w:hAnsi="宋体"/>
                <w:bCs/>
                <w:iCs/>
                <w:color w:val="000000"/>
                <w:sz w:val="24"/>
              </w:rPr>
            </w:pPr>
            <w:r w:rsidRPr="00043C99">
              <w:rPr>
                <w:rFonts w:ascii="宋体" w:hAnsi="宋体" w:hint="eastAsia"/>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F8459D" w:rsidRPr="00043C99" w:rsidRDefault="00310BA9" w:rsidP="00862E11">
            <w:pPr>
              <w:spacing w:line="480" w:lineRule="atLeast"/>
              <w:rPr>
                <w:rFonts w:ascii="宋体" w:hAnsi="宋体"/>
                <w:bCs/>
                <w:iCs/>
                <w:color w:val="000000"/>
                <w:sz w:val="24"/>
              </w:rPr>
            </w:pPr>
            <w:r w:rsidRPr="00043C99">
              <w:rPr>
                <w:rFonts w:ascii="宋体" w:hAnsi="宋体" w:hint="eastAsia"/>
                <w:bCs/>
                <w:iCs/>
                <w:color w:val="000000"/>
                <w:sz w:val="24"/>
              </w:rPr>
              <w:t>神州高</w:t>
            </w:r>
            <w:proofErr w:type="gramStart"/>
            <w:r w:rsidRPr="00043C99">
              <w:rPr>
                <w:rFonts w:ascii="宋体" w:hAnsi="宋体" w:hint="eastAsia"/>
                <w:bCs/>
                <w:iCs/>
                <w:color w:val="000000"/>
                <w:sz w:val="24"/>
              </w:rPr>
              <w:t>铁技术</w:t>
            </w:r>
            <w:proofErr w:type="gramEnd"/>
            <w:r w:rsidRPr="00043C99">
              <w:rPr>
                <w:rFonts w:ascii="宋体" w:hAnsi="宋体" w:hint="eastAsia"/>
                <w:bCs/>
                <w:iCs/>
                <w:color w:val="000000"/>
                <w:sz w:val="24"/>
              </w:rPr>
              <w:t>股份有限公司报告厅</w:t>
            </w:r>
          </w:p>
        </w:tc>
      </w:tr>
      <w:tr w:rsidR="00F8459D" w:rsidRPr="00043C99" w:rsidTr="00862E11">
        <w:tc>
          <w:tcPr>
            <w:tcW w:w="1908" w:type="dxa"/>
            <w:tcBorders>
              <w:top w:val="single" w:sz="4" w:space="0" w:color="auto"/>
              <w:left w:val="single" w:sz="4" w:space="0" w:color="auto"/>
              <w:bottom w:val="single" w:sz="4" w:space="0" w:color="auto"/>
              <w:right w:val="single" w:sz="4" w:space="0" w:color="auto"/>
            </w:tcBorders>
            <w:shd w:val="clear" w:color="auto" w:fill="auto"/>
          </w:tcPr>
          <w:p w:rsidR="00F8459D" w:rsidRPr="00043C99" w:rsidRDefault="00F8459D" w:rsidP="0013653A">
            <w:pPr>
              <w:spacing w:line="480" w:lineRule="atLeast"/>
              <w:rPr>
                <w:rFonts w:ascii="宋体" w:hAnsi="宋体"/>
                <w:bCs/>
                <w:iCs/>
                <w:color w:val="000000"/>
                <w:sz w:val="24"/>
              </w:rPr>
            </w:pPr>
            <w:r w:rsidRPr="00043C99">
              <w:rPr>
                <w:rFonts w:ascii="宋体" w:hAnsi="宋体" w:hint="eastAsia"/>
                <w:bCs/>
                <w:iCs/>
                <w:color w:val="000000"/>
                <w:sz w:val="24"/>
              </w:rPr>
              <w:t>公司接待人员</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F8459D" w:rsidRPr="00043C99" w:rsidRDefault="006F46AA" w:rsidP="003046C9">
            <w:pPr>
              <w:spacing w:line="480" w:lineRule="atLeast"/>
              <w:rPr>
                <w:rFonts w:ascii="宋体" w:hAnsi="宋体"/>
                <w:bCs/>
                <w:iCs/>
                <w:color w:val="000000"/>
                <w:sz w:val="24"/>
              </w:rPr>
            </w:pPr>
            <w:r w:rsidRPr="00043C99">
              <w:rPr>
                <w:rFonts w:ascii="宋体" w:hAnsi="宋体" w:hint="eastAsia"/>
                <w:bCs/>
                <w:iCs/>
                <w:color w:val="000000"/>
                <w:sz w:val="24"/>
              </w:rPr>
              <w:t>王志全（董事长</w:t>
            </w:r>
            <w:r w:rsidR="00894CC4" w:rsidRPr="00043C99">
              <w:rPr>
                <w:rFonts w:ascii="宋体" w:hAnsi="宋体" w:hint="eastAsia"/>
                <w:bCs/>
                <w:iCs/>
                <w:color w:val="000000"/>
                <w:sz w:val="24"/>
              </w:rPr>
              <w:t>）、</w:t>
            </w:r>
            <w:r w:rsidR="00BD3A67">
              <w:rPr>
                <w:rFonts w:ascii="宋体" w:hAnsi="宋体" w:hint="eastAsia"/>
                <w:bCs/>
                <w:iCs/>
                <w:color w:val="000000"/>
                <w:sz w:val="24"/>
              </w:rPr>
              <w:t>钟岩</w:t>
            </w:r>
            <w:r w:rsidR="00BD3A67">
              <w:rPr>
                <w:rFonts w:ascii="宋体" w:hAnsi="宋体"/>
                <w:bCs/>
                <w:iCs/>
                <w:color w:val="000000"/>
                <w:sz w:val="24"/>
              </w:rPr>
              <w:t>（总经理）、</w:t>
            </w:r>
            <w:r w:rsidR="003046C9">
              <w:rPr>
                <w:rFonts w:ascii="宋体" w:hAnsi="宋体" w:hint="eastAsia"/>
                <w:bCs/>
                <w:iCs/>
                <w:color w:val="000000"/>
                <w:sz w:val="24"/>
              </w:rPr>
              <w:t>王志刚</w:t>
            </w:r>
            <w:r w:rsidR="001F1F53" w:rsidRPr="00043C99">
              <w:rPr>
                <w:rFonts w:ascii="宋体" w:hAnsi="宋体" w:hint="eastAsia"/>
                <w:bCs/>
                <w:iCs/>
                <w:color w:val="000000"/>
                <w:sz w:val="24"/>
              </w:rPr>
              <w:t>（</w:t>
            </w:r>
            <w:r w:rsidR="003046C9">
              <w:rPr>
                <w:rFonts w:ascii="宋体" w:hAnsi="宋体" w:hint="eastAsia"/>
                <w:bCs/>
                <w:iCs/>
                <w:color w:val="000000"/>
                <w:sz w:val="24"/>
              </w:rPr>
              <w:t>董事长助理</w:t>
            </w:r>
            <w:r w:rsidR="00F95664">
              <w:rPr>
                <w:rFonts w:ascii="宋体" w:hAnsi="宋体" w:hint="eastAsia"/>
                <w:bCs/>
                <w:iCs/>
                <w:color w:val="000000"/>
                <w:sz w:val="24"/>
              </w:rPr>
              <w:t>）</w:t>
            </w:r>
            <w:r w:rsidR="00144295" w:rsidRPr="00043C99">
              <w:rPr>
                <w:rFonts w:ascii="宋体" w:hAnsi="宋体" w:hint="eastAsia"/>
                <w:bCs/>
                <w:iCs/>
                <w:color w:val="000000"/>
                <w:sz w:val="24"/>
              </w:rPr>
              <w:t>、</w:t>
            </w:r>
            <w:r w:rsidR="00894CC4" w:rsidRPr="00043C99">
              <w:rPr>
                <w:rFonts w:ascii="宋体" w:hAnsi="宋体" w:hint="eastAsia"/>
                <w:bCs/>
                <w:iCs/>
                <w:color w:val="000000"/>
                <w:sz w:val="24"/>
              </w:rPr>
              <w:t>侯小婧（</w:t>
            </w:r>
            <w:r w:rsidR="00800D77" w:rsidRPr="00043C99">
              <w:rPr>
                <w:rFonts w:ascii="宋体" w:hAnsi="宋体" w:hint="eastAsia"/>
                <w:bCs/>
                <w:iCs/>
                <w:color w:val="000000"/>
                <w:sz w:val="24"/>
              </w:rPr>
              <w:t>证券事务代表</w:t>
            </w:r>
            <w:r w:rsidR="00894CC4" w:rsidRPr="00043C99">
              <w:rPr>
                <w:rFonts w:ascii="宋体" w:hAnsi="宋体" w:hint="eastAsia"/>
                <w:bCs/>
                <w:iCs/>
                <w:color w:val="000000"/>
                <w:sz w:val="24"/>
              </w:rPr>
              <w:t>）</w:t>
            </w:r>
          </w:p>
        </w:tc>
      </w:tr>
      <w:tr w:rsidR="00F8459D" w:rsidRPr="00043C99" w:rsidTr="00862E11">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F8459D" w:rsidRPr="00043C99" w:rsidRDefault="00F8459D" w:rsidP="00862E11">
            <w:pPr>
              <w:spacing w:line="480" w:lineRule="atLeast"/>
              <w:rPr>
                <w:rFonts w:ascii="宋体" w:hAnsi="宋体"/>
                <w:bCs/>
                <w:iCs/>
                <w:color w:val="000000"/>
                <w:sz w:val="24"/>
              </w:rPr>
            </w:pPr>
            <w:r w:rsidRPr="00043C99">
              <w:rPr>
                <w:rFonts w:ascii="宋体" w:hAnsi="宋体" w:hint="eastAsia"/>
                <w:bCs/>
                <w:iCs/>
                <w:color w:val="000000"/>
                <w:sz w:val="24"/>
              </w:rPr>
              <w:t>投资者关系活动主要内容介绍</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04502" w:rsidRPr="00404502" w:rsidRDefault="00290CAA" w:rsidP="00404502">
            <w:pPr>
              <w:spacing w:line="480" w:lineRule="atLeast"/>
              <w:rPr>
                <w:rFonts w:ascii="宋体" w:hAnsi="宋体"/>
                <w:bCs/>
                <w:iCs/>
                <w:color w:val="000000"/>
                <w:szCs w:val="21"/>
              </w:rPr>
            </w:pPr>
            <w:r>
              <w:rPr>
                <w:rFonts w:ascii="宋体" w:hAnsi="宋体" w:hint="eastAsia"/>
                <w:bCs/>
                <w:iCs/>
                <w:color w:val="000000"/>
                <w:szCs w:val="21"/>
              </w:rPr>
              <w:t>一</w:t>
            </w:r>
            <w:r w:rsidR="00404502" w:rsidRPr="00404502">
              <w:rPr>
                <w:rFonts w:ascii="宋体" w:hAnsi="宋体" w:hint="eastAsia"/>
                <w:bCs/>
                <w:iCs/>
                <w:color w:val="000000"/>
                <w:szCs w:val="21"/>
              </w:rPr>
              <w:t>、</w:t>
            </w:r>
            <w:r>
              <w:rPr>
                <w:rFonts w:ascii="宋体" w:hAnsi="宋体" w:hint="eastAsia"/>
                <w:bCs/>
                <w:iCs/>
                <w:color w:val="000000"/>
                <w:szCs w:val="21"/>
              </w:rPr>
              <w:t>公司</w:t>
            </w:r>
            <w:r w:rsidR="00AD54E2">
              <w:rPr>
                <w:rFonts w:ascii="宋体" w:hAnsi="宋体" w:hint="eastAsia"/>
                <w:bCs/>
                <w:iCs/>
                <w:color w:val="000000"/>
                <w:szCs w:val="21"/>
              </w:rPr>
              <w:t>基本情况</w:t>
            </w:r>
            <w:r w:rsidR="0013653A">
              <w:rPr>
                <w:rFonts w:ascii="宋体" w:hAnsi="宋体" w:hint="eastAsia"/>
                <w:bCs/>
                <w:iCs/>
                <w:color w:val="000000"/>
                <w:szCs w:val="21"/>
              </w:rPr>
              <w:t>介绍</w:t>
            </w:r>
          </w:p>
          <w:p w:rsidR="00376EDA" w:rsidRDefault="00404502" w:rsidP="003C420A">
            <w:pPr>
              <w:spacing w:line="480" w:lineRule="atLeast"/>
              <w:ind w:firstLineChars="200" w:firstLine="420"/>
              <w:rPr>
                <w:rFonts w:ascii="宋体" w:hAnsi="宋体"/>
                <w:bCs/>
                <w:iCs/>
                <w:color w:val="000000"/>
                <w:szCs w:val="21"/>
              </w:rPr>
            </w:pPr>
            <w:r w:rsidRPr="00404502">
              <w:rPr>
                <w:rFonts w:ascii="宋体" w:hAnsi="宋体" w:hint="eastAsia"/>
                <w:bCs/>
                <w:iCs/>
                <w:color w:val="000000"/>
                <w:szCs w:val="21"/>
              </w:rPr>
              <w:t>神州高铁是为以高铁为代表的轨道交通产业提运营维护专业设备及系统解决方案的核心供应商，是轨道交通运营维护领域首家涵盖全产业链的主业上市公司，</w:t>
            </w:r>
            <w:r w:rsidR="00290CAA" w:rsidRPr="00290CAA">
              <w:rPr>
                <w:rFonts w:ascii="宋体" w:hAnsi="宋体" w:hint="eastAsia"/>
                <w:bCs/>
                <w:iCs/>
                <w:color w:val="000000"/>
                <w:szCs w:val="21"/>
              </w:rPr>
              <w:t>是北京市海淀区国有资产投资经营有限公司参股企业</w:t>
            </w:r>
            <w:r w:rsidR="00376EDA">
              <w:rPr>
                <w:rFonts w:ascii="宋体" w:hAnsi="宋体" w:hint="eastAsia"/>
                <w:bCs/>
                <w:iCs/>
                <w:color w:val="000000"/>
                <w:szCs w:val="21"/>
              </w:rPr>
              <w:t>。</w:t>
            </w:r>
          </w:p>
          <w:p w:rsidR="00404502" w:rsidRPr="00404502" w:rsidRDefault="00404502" w:rsidP="003C420A">
            <w:pPr>
              <w:spacing w:line="480" w:lineRule="atLeast"/>
              <w:ind w:firstLineChars="200" w:firstLine="420"/>
              <w:rPr>
                <w:rFonts w:ascii="宋体" w:hAnsi="宋体"/>
                <w:bCs/>
                <w:iCs/>
                <w:color w:val="000000"/>
                <w:szCs w:val="21"/>
              </w:rPr>
            </w:pPr>
            <w:r w:rsidRPr="00404502">
              <w:rPr>
                <w:rFonts w:ascii="宋体" w:hAnsi="宋体" w:hint="eastAsia"/>
                <w:bCs/>
                <w:iCs/>
                <w:color w:val="000000"/>
                <w:szCs w:val="21"/>
              </w:rPr>
              <w:t>公司在机车、动车、车辆、供电、信号、线路等领域深耕多年，业务覆盖各铁路局、动车检修基地、大功率机车检修基地、主机厂、机务段、动车段、车辆段、工务段、电务段、供电段及各城市地铁公</w:t>
            </w:r>
            <w:r w:rsidRPr="00404502">
              <w:rPr>
                <w:rFonts w:ascii="宋体" w:hAnsi="宋体" w:hint="eastAsia"/>
                <w:bCs/>
                <w:iCs/>
                <w:color w:val="000000"/>
                <w:szCs w:val="21"/>
              </w:rPr>
              <w:lastRenderedPageBreak/>
              <w:t>司以及欧洲、美洲、亚洲海外多个国家。</w:t>
            </w:r>
          </w:p>
          <w:p w:rsidR="00404502" w:rsidRPr="00404502" w:rsidRDefault="0013653A" w:rsidP="00404502">
            <w:pPr>
              <w:spacing w:line="480" w:lineRule="atLeast"/>
              <w:rPr>
                <w:rFonts w:ascii="宋体" w:hAnsi="宋体"/>
                <w:bCs/>
                <w:iCs/>
                <w:color w:val="000000"/>
                <w:szCs w:val="21"/>
              </w:rPr>
            </w:pPr>
            <w:r>
              <w:rPr>
                <w:rFonts w:ascii="宋体" w:hAnsi="宋体" w:hint="eastAsia"/>
                <w:bCs/>
                <w:iCs/>
                <w:color w:val="000000"/>
                <w:szCs w:val="21"/>
              </w:rPr>
              <w:t>二、2020</w:t>
            </w:r>
            <w:r w:rsidR="00404502" w:rsidRPr="00404502">
              <w:rPr>
                <w:rFonts w:ascii="宋体" w:hAnsi="宋体" w:hint="eastAsia"/>
                <w:bCs/>
                <w:iCs/>
                <w:color w:val="000000"/>
                <w:szCs w:val="21"/>
              </w:rPr>
              <w:t>战略规划</w:t>
            </w:r>
            <w:r>
              <w:rPr>
                <w:rFonts w:ascii="宋体" w:hAnsi="宋体" w:hint="eastAsia"/>
                <w:bCs/>
                <w:iCs/>
                <w:color w:val="000000"/>
                <w:szCs w:val="21"/>
              </w:rPr>
              <w:t>解读</w:t>
            </w:r>
          </w:p>
          <w:p w:rsidR="003207FC" w:rsidRDefault="00AB38A3" w:rsidP="003C420A">
            <w:pPr>
              <w:spacing w:line="480" w:lineRule="atLeast"/>
              <w:ind w:firstLineChars="200" w:firstLine="420"/>
              <w:rPr>
                <w:rFonts w:asciiTheme="minorEastAsia" w:eastAsiaTheme="minorEastAsia" w:hAnsiTheme="minorEastAsia" w:cs="宋体"/>
                <w:kern w:val="0"/>
                <w:lang w:val="zh-CN"/>
              </w:rPr>
            </w:pPr>
            <w:r>
              <w:rPr>
                <w:rFonts w:asciiTheme="minorEastAsia" w:eastAsiaTheme="minorEastAsia" w:hAnsiTheme="minorEastAsia" w:cs="宋体" w:hint="eastAsia"/>
                <w:kern w:val="0"/>
                <w:lang w:val="zh-CN"/>
              </w:rPr>
              <w:t>公司</w:t>
            </w:r>
            <w:r w:rsidR="003207FC">
              <w:rPr>
                <w:rFonts w:asciiTheme="minorEastAsia" w:eastAsiaTheme="minorEastAsia" w:hAnsiTheme="minorEastAsia" w:cs="宋体" w:hint="eastAsia"/>
                <w:kern w:val="0"/>
                <w:lang w:val="zh-CN"/>
              </w:rPr>
              <w:t>基于</w:t>
            </w:r>
            <w:r w:rsidR="00376E2B">
              <w:rPr>
                <w:rFonts w:asciiTheme="minorEastAsia" w:eastAsiaTheme="minorEastAsia" w:hAnsiTheme="minorEastAsia" w:cs="宋体" w:hint="eastAsia"/>
                <w:kern w:val="0"/>
                <w:lang w:val="zh-CN"/>
              </w:rPr>
              <w:t>国家乃至</w:t>
            </w:r>
            <w:r w:rsidR="00376E2B">
              <w:rPr>
                <w:rFonts w:asciiTheme="minorEastAsia" w:eastAsiaTheme="minorEastAsia" w:hAnsiTheme="minorEastAsia" w:cs="宋体"/>
                <w:kern w:val="0"/>
                <w:lang w:val="zh-CN"/>
              </w:rPr>
              <w:t>世界轨道交通</w:t>
            </w:r>
            <w:r w:rsidR="003207FC">
              <w:rPr>
                <w:rFonts w:asciiTheme="minorEastAsia" w:eastAsiaTheme="minorEastAsia" w:hAnsiTheme="minorEastAsia" w:cs="宋体"/>
                <w:kern w:val="0"/>
                <w:lang w:val="zh-CN"/>
              </w:rPr>
              <w:t>大</w:t>
            </w:r>
            <w:r w:rsidR="003207FC">
              <w:rPr>
                <w:rFonts w:asciiTheme="minorEastAsia" w:eastAsiaTheme="minorEastAsia" w:hAnsiTheme="minorEastAsia" w:cs="宋体" w:hint="eastAsia"/>
                <w:kern w:val="0"/>
                <w:lang w:val="zh-CN"/>
              </w:rPr>
              <w:t>环境</w:t>
            </w:r>
            <w:r w:rsidR="003207FC">
              <w:rPr>
                <w:rFonts w:asciiTheme="minorEastAsia" w:eastAsiaTheme="minorEastAsia" w:hAnsiTheme="minorEastAsia" w:cs="宋体"/>
                <w:kern w:val="0"/>
                <w:lang w:val="zh-CN"/>
              </w:rPr>
              <w:t>与内部</w:t>
            </w:r>
            <w:r w:rsidR="003207FC">
              <w:rPr>
                <w:rFonts w:asciiTheme="minorEastAsia" w:eastAsiaTheme="minorEastAsia" w:hAnsiTheme="minorEastAsia" w:cs="宋体" w:hint="eastAsia"/>
                <w:kern w:val="0"/>
                <w:lang w:val="zh-CN"/>
              </w:rPr>
              <w:t>品牌</w:t>
            </w:r>
            <w:r w:rsidR="003207FC">
              <w:rPr>
                <w:rFonts w:asciiTheme="minorEastAsia" w:eastAsiaTheme="minorEastAsia" w:hAnsiTheme="minorEastAsia" w:cs="宋体"/>
                <w:kern w:val="0"/>
                <w:lang w:val="zh-CN"/>
              </w:rPr>
              <w:t>优势、</w:t>
            </w:r>
            <w:r w:rsidR="003207FC">
              <w:rPr>
                <w:rFonts w:asciiTheme="minorEastAsia" w:eastAsiaTheme="minorEastAsia" w:hAnsiTheme="minorEastAsia" w:cs="宋体" w:hint="eastAsia"/>
                <w:kern w:val="0"/>
                <w:lang w:val="zh-CN"/>
              </w:rPr>
              <w:t>专业</w:t>
            </w:r>
            <w:r w:rsidR="003207FC">
              <w:rPr>
                <w:rFonts w:asciiTheme="minorEastAsia" w:eastAsiaTheme="minorEastAsia" w:hAnsiTheme="minorEastAsia" w:cs="宋体"/>
                <w:kern w:val="0"/>
                <w:lang w:val="zh-CN"/>
              </w:rPr>
              <w:t>优势、</w:t>
            </w:r>
            <w:r w:rsidR="003207FC">
              <w:rPr>
                <w:rFonts w:asciiTheme="minorEastAsia" w:eastAsiaTheme="minorEastAsia" w:hAnsiTheme="minorEastAsia" w:cs="宋体" w:hint="eastAsia"/>
                <w:kern w:val="0"/>
                <w:lang w:val="zh-CN"/>
              </w:rPr>
              <w:t>技术优势和</w:t>
            </w:r>
            <w:r w:rsidR="003207FC">
              <w:rPr>
                <w:rFonts w:asciiTheme="minorEastAsia" w:eastAsiaTheme="minorEastAsia" w:hAnsiTheme="minorEastAsia" w:cs="宋体"/>
                <w:kern w:val="0"/>
                <w:lang w:val="zh-CN"/>
              </w:rPr>
              <w:t>平台优势</w:t>
            </w:r>
            <w:r w:rsidR="003207FC">
              <w:rPr>
                <w:rFonts w:asciiTheme="minorEastAsia" w:eastAsiaTheme="minorEastAsia" w:hAnsiTheme="minorEastAsia" w:cs="宋体" w:hint="eastAsia"/>
                <w:kern w:val="0"/>
                <w:lang w:val="zh-CN"/>
              </w:rPr>
              <w:t>，</w:t>
            </w:r>
            <w:r w:rsidR="003207FC" w:rsidRPr="003207FC">
              <w:rPr>
                <w:rFonts w:asciiTheme="minorEastAsia" w:eastAsiaTheme="minorEastAsia" w:hAnsiTheme="minorEastAsia" w:cs="宋体" w:hint="eastAsia"/>
                <w:kern w:val="0"/>
                <w:lang w:val="zh-CN"/>
              </w:rPr>
              <w:t>确定了成为“轨道交通运营维护体系整体方案提供商、核心设备提供商和综合服务提供商”的战略定位。为支撑该战略定位的实现，公司确立了以“智能设备、产业大数据和工业服务”为三大核心业务，重点打造“咨询设计、生产制造、系统集成、资本运作和商业模式”五大核心能力。</w:t>
            </w:r>
            <w:r w:rsidR="0013653A" w:rsidRPr="0013653A">
              <w:rPr>
                <w:rFonts w:asciiTheme="minorEastAsia" w:eastAsiaTheme="minorEastAsia" w:hAnsiTheme="minorEastAsia" w:cs="宋体" w:hint="eastAsia"/>
                <w:kern w:val="0"/>
                <w:lang w:val="zh-CN"/>
              </w:rPr>
              <w:t>围绕战略</w:t>
            </w:r>
            <w:r w:rsidR="0013653A" w:rsidRPr="0013653A">
              <w:rPr>
                <w:rFonts w:asciiTheme="minorEastAsia" w:eastAsiaTheme="minorEastAsia" w:hAnsiTheme="minorEastAsia" w:cs="宋体"/>
                <w:kern w:val="0"/>
                <w:lang w:val="zh-CN"/>
              </w:rPr>
              <w:t>定位和</w:t>
            </w:r>
            <w:r w:rsidR="0013653A" w:rsidRPr="0013653A">
              <w:rPr>
                <w:rFonts w:asciiTheme="minorEastAsia" w:eastAsiaTheme="minorEastAsia" w:hAnsiTheme="minorEastAsia" w:cs="宋体" w:hint="eastAsia"/>
                <w:kern w:val="0"/>
                <w:lang w:val="zh-CN"/>
              </w:rPr>
              <w:t>三大</w:t>
            </w:r>
            <w:r w:rsidR="0013653A" w:rsidRPr="0013653A">
              <w:rPr>
                <w:rFonts w:asciiTheme="minorEastAsia" w:eastAsiaTheme="minorEastAsia" w:hAnsiTheme="minorEastAsia" w:cs="宋体"/>
                <w:kern w:val="0"/>
                <w:lang w:val="zh-CN"/>
              </w:rPr>
              <w:t>核心业务，</w:t>
            </w:r>
            <w:r w:rsidR="0013653A" w:rsidRPr="0013653A">
              <w:rPr>
                <w:rFonts w:asciiTheme="minorEastAsia" w:eastAsiaTheme="minorEastAsia" w:hAnsiTheme="minorEastAsia" w:cs="宋体" w:hint="eastAsia"/>
                <w:kern w:val="0"/>
                <w:lang w:val="zh-CN"/>
              </w:rPr>
              <w:t>公司</w:t>
            </w:r>
            <w:r w:rsidR="0013653A">
              <w:rPr>
                <w:rFonts w:asciiTheme="minorEastAsia" w:eastAsiaTheme="minorEastAsia" w:hAnsiTheme="minorEastAsia" w:cs="宋体" w:hint="eastAsia"/>
                <w:kern w:val="0"/>
                <w:lang w:val="zh-CN"/>
              </w:rPr>
              <w:t>通过</w:t>
            </w:r>
            <w:r w:rsidR="0013653A" w:rsidRPr="0013653A">
              <w:rPr>
                <w:rFonts w:asciiTheme="minorEastAsia" w:eastAsiaTheme="minorEastAsia" w:hAnsiTheme="minorEastAsia" w:cs="宋体" w:hint="eastAsia"/>
                <w:kern w:val="0"/>
                <w:lang w:val="zh-CN"/>
              </w:rPr>
              <w:t>实施</w:t>
            </w:r>
            <w:r w:rsidR="0013653A" w:rsidRPr="0013653A">
              <w:rPr>
                <w:rFonts w:asciiTheme="minorEastAsia" w:eastAsiaTheme="minorEastAsia" w:hAnsiTheme="minorEastAsia" w:cs="宋体"/>
                <w:kern w:val="0"/>
                <w:lang w:val="zh-CN"/>
              </w:rPr>
              <w:t>专业集团分工、</w:t>
            </w:r>
            <w:r w:rsidR="0013653A" w:rsidRPr="0013653A">
              <w:rPr>
                <w:rFonts w:asciiTheme="minorEastAsia" w:eastAsiaTheme="minorEastAsia" w:hAnsiTheme="minorEastAsia" w:cs="宋体" w:hint="eastAsia"/>
                <w:kern w:val="0"/>
                <w:lang w:val="zh-CN"/>
              </w:rPr>
              <w:t>市场</w:t>
            </w:r>
            <w:r w:rsidR="0013653A" w:rsidRPr="0013653A">
              <w:rPr>
                <w:rFonts w:asciiTheme="minorEastAsia" w:eastAsiaTheme="minorEastAsia" w:hAnsiTheme="minorEastAsia" w:cs="宋体"/>
                <w:kern w:val="0"/>
                <w:lang w:val="zh-CN"/>
              </w:rPr>
              <w:t>体系</w:t>
            </w:r>
            <w:r w:rsidR="0013653A" w:rsidRPr="0013653A">
              <w:rPr>
                <w:rFonts w:asciiTheme="minorEastAsia" w:eastAsiaTheme="minorEastAsia" w:hAnsiTheme="minorEastAsia" w:cs="宋体" w:hint="eastAsia"/>
                <w:kern w:val="0"/>
                <w:lang w:val="zh-CN"/>
              </w:rPr>
              <w:t>变革、商业</w:t>
            </w:r>
            <w:r w:rsidR="0013653A" w:rsidRPr="0013653A">
              <w:rPr>
                <w:rFonts w:asciiTheme="minorEastAsia" w:eastAsiaTheme="minorEastAsia" w:hAnsiTheme="minorEastAsia" w:cs="宋体"/>
                <w:kern w:val="0"/>
                <w:lang w:val="zh-CN"/>
              </w:rPr>
              <w:t>模式创新</w:t>
            </w:r>
            <w:r w:rsidR="0013653A" w:rsidRPr="0013653A">
              <w:rPr>
                <w:rFonts w:asciiTheme="minorEastAsia" w:eastAsiaTheme="minorEastAsia" w:hAnsiTheme="minorEastAsia" w:cs="宋体" w:hint="eastAsia"/>
                <w:kern w:val="0"/>
                <w:lang w:val="zh-CN"/>
              </w:rPr>
              <w:t>等</w:t>
            </w:r>
            <w:r w:rsidR="0013653A" w:rsidRPr="0013653A">
              <w:rPr>
                <w:rFonts w:asciiTheme="minorEastAsia" w:eastAsiaTheme="minorEastAsia" w:hAnsiTheme="minorEastAsia" w:cs="宋体"/>
                <w:kern w:val="0"/>
                <w:lang w:val="zh-CN"/>
              </w:rPr>
              <w:t>战略举措，</w:t>
            </w:r>
            <w:r w:rsidR="0013653A" w:rsidRPr="0013653A">
              <w:rPr>
                <w:rFonts w:asciiTheme="minorEastAsia" w:eastAsiaTheme="minorEastAsia" w:hAnsiTheme="minorEastAsia" w:cs="宋体" w:hint="eastAsia"/>
                <w:kern w:val="0"/>
                <w:lang w:val="zh-CN"/>
              </w:rPr>
              <w:t>大力推动</w:t>
            </w:r>
            <w:r w:rsidR="0013653A" w:rsidRPr="0013653A">
              <w:rPr>
                <w:rFonts w:asciiTheme="minorEastAsia" w:eastAsiaTheme="minorEastAsia" w:hAnsiTheme="minorEastAsia" w:cs="宋体"/>
                <w:kern w:val="0"/>
                <w:lang w:val="zh-CN"/>
              </w:rPr>
              <w:t>战略落地</w:t>
            </w:r>
            <w:r w:rsidR="0013653A" w:rsidRPr="0013653A">
              <w:rPr>
                <w:rFonts w:asciiTheme="minorEastAsia" w:eastAsiaTheme="minorEastAsia" w:hAnsiTheme="minorEastAsia" w:cs="宋体" w:hint="eastAsia"/>
                <w:kern w:val="0"/>
                <w:lang w:val="zh-CN"/>
              </w:rPr>
              <w:t>。</w:t>
            </w:r>
          </w:p>
          <w:p w:rsidR="00FA6828" w:rsidRPr="003207FC" w:rsidRDefault="0013653A" w:rsidP="003207FC">
            <w:pPr>
              <w:spacing w:line="480" w:lineRule="atLeast"/>
              <w:rPr>
                <w:rFonts w:asciiTheme="minorEastAsia" w:eastAsiaTheme="minorEastAsia" w:hAnsiTheme="minorEastAsia" w:cs="宋体"/>
                <w:kern w:val="0"/>
                <w:lang w:val="zh-CN"/>
              </w:rPr>
            </w:pPr>
            <w:r>
              <w:rPr>
                <w:rFonts w:ascii="宋体" w:hAnsi="宋体" w:hint="eastAsia"/>
                <w:bCs/>
                <w:iCs/>
                <w:color w:val="000000"/>
                <w:szCs w:val="21"/>
              </w:rPr>
              <w:t>三</w:t>
            </w:r>
            <w:r w:rsidR="00FA6828" w:rsidRPr="00FA6828">
              <w:rPr>
                <w:rFonts w:ascii="宋体" w:hAnsi="宋体" w:hint="eastAsia"/>
                <w:bCs/>
                <w:iCs/>
                <w:color w:val="000000"/>
                <w:szCs w:val="21"/>
              </w:rPr>
              <w:t>、</w:t>
            </w:r>
            <w:r>
              <w:rPr>
                <w:rFonts w:ascii="宋体" w:hAnsi="宋体" w:hint="eastAsia"/>
                <w:bCs/>
                <w:iCs/>
                <w:color w:val="000000"/>
                <w:szCs w:val="21"/>
              </w:rPr>
              <w:t>与</w:t>
            </w:r>
            <w:proofErr w:type="gramStart"/>
            <w:r>
              <w:rPr>
                <w:rFonts w:ascii="宋体" w:hAnsi="宋体" w:hint="eastAsia"/>
                <w:bCs/>
                <w:iCs/>
                <w:color w:val="000000"/>
                <w:szCs w:val="21"/>
              </w:rPr>
              <w:t>海淀国投合</w:t>
            </w:r>
            <w:proofErr w:type="gramEnd"/>
            <w:r>
              <w:rPr>
                <w:rFonts w:ascii="宋体" w:hAnsi="宋体" w:hint="eastAsia"/>
                <w:bCs/>
                <w:iCs/>
                <w:color w:val="000000"/>
                <w:szCs w:val="21"/>
              </w:rPr>
              <w:t>作情况</w:t>
            </w:r>
          </w:p>
          <w:p w:rsidR="0062478E" w:rsidRPr="0062478E" w:rsidRDefault="00376E2B" w:rsidP="0062478E">
            <w:pPr>
              <w:spacing w:line="480" w:lineRule="atLeast"/>
              <w:ind w:firstLine="420"/>
              <w:rPr>
                <w:rFonts w:ascii="宋体" w:hAnsi="宋体"/>
                <w:bCs/>
                <w:iCs/>
                <w:color w:val="000000"/>
                <w:szCs w:val="21"/>
              </w:rPr>
            </w:pPr>
            <w:proofErr w:type="gramStart"/>
            <w:r>
              <w:rPr>
                <w:rFonts w:ascii="宋体" w:hAnsi="宋体" w:hint="eastAsia"/>
                <w:bCs/>
                <w:iCs/>
                <w:color w:val="000000"/>
                <w:szCs w:val="21"/>
              </w:rPr>
              <w:t>海淀国</w:t>
            </w:r>
            <w:proofErr w:type="gramEnd"/>
            <w:r>
              <w:rPr>
                <w:rFonts w:ascii="宋体" w:hAnsi="宋体" w:hint="eastAsia"/>
                <w:bCs/>
                <w:iCs/>
                <w:color w:val="000000"/>
                <w:szCs w:val="21"/>
              </w:rPr>
              <w:t>投</w:t>
            </w:r>
            <w:r w:rsidR="0062478E" w:rsidRPr="0062478E">
              <w:rPr>
                <w:rFonts w:ascii="宋体" w:hAnsi="宋体" w:hint="eastAsia"/>
                <w:bCs/>
                <w:iCs/>
                <w:color w:val="000000"/>
                <w:szCs w:val="21"/>
              </w:rPr>
              <w:t>是经北京市海淀区人民政府批准成立的国有法人独资公司，通过规模化、专业化、多元化的发展模式，形成了以地产、科技、教育、科技金融、酒店服务为支柱板块，以体育、文化、金融要素市场为新兴产业，以资本运营为纽带的战略发展格局。</w:t>
            </w:r>
            <w:proofErr w:type="gramStart"/>
            <w:r w:rsidR="0062478E" w:rsidRPr="0062478E">
              <w:rPr>
                <w:rFonts w:ascii="宋体" w:hAnsi="宋体" w:hint="eastAsia"/>
                <w:bCs/>
                <w:iCs/>
                <w:color w:val="000000"/>
                <w:szCs w:val="21"/>
              </w:rPr>
              <w:t>海淀国投拥有</w:t>
            </w:r>
            <w:proofErr w:type="gramEnd"/>
            <w:r w:rsidR="0062478E" w:rsidRPr="0062478E">
              <w:rPr>
                <w:rFonts w:ascii="宋体" w:hAnsi="宋体" w:hint="eastAsia"/>
                <w:bCs/>
                <w:iCs/>
                <w:color w:val="000000"/>
                <w:szCs w:val="21"/>
              </w:rPr>
              <w:t>全资、控股、参股及托管企业 40 余家，资产总额超过 1000 亿元，集团收入超过 200 亿元。除神州高铁外，</w:t>
            </w:r>
            <w:proofErr w:type="gramStart"/>
            <w:r w:rsidR="0062478E" w:rsidRPr="0062478E">
              <w:rPr>
                <w:rFonts w:ascii="宋体" w:hAnsi="宋体" w:hint="eastAsia"/>
                <w:bCs/>
                <w:iCs/>
                <w:color w:val="000000"/>
                <w:szCs w:val="21"/>
              </w:rPr>
              <w:t>海淀国</w:t>
            </w:r>
            <w:proofErr w:type="gramEnd"/>
            <w:r w:rsidR="0062478E" w:rsidRPr="0062478E">
              <w:rPr>
                <w:rFonts w:ascii="宋体" w:hAnsi="宋体" w:hint="eastAsia"/>
                <w:bCs/>
                <w:iCs/>
                <w:color w:val="000000"/>
                <w:szCs w:val="21"/>
              </w:rPr>
              <w:t>投旗下拥有三聚环保（300072）、中泰桥梁（002659）两家上市公司，资本市场经验丰富。</w:t>
            </w:r>
          </w:p>
          <w:p w:rsidR="0062478E" w:rsidRDefault="0062478E" w:rsidP="003C420A">
            <w:pPr>
              <w:spacing w:line="480" w:lineRule="atLeast"/>
              <w:ind w:firstLineChars="200" w:firstLine="420"/>
              <w:rPr>
                <w:rFonts w:ascii="宋体" w:hAnsi="宋体"/>
                <w:bCs/>
                <w:iCs/>
                <w:color w:val="000000"/>
                <w:szCs w:val="21"/>
              </w:rPr>
            </w:pPr>
            <w:proofErr w:type="gramStart"/>
            <w:r w:rsidRPr="0062478E">
              <w:rPr>
                <w:rFonts w:ascii="宋体" w:hAnsi="宋体" w:hint="eastAsia"/>
                <w:bCs/>
                <w:iCs/>
                <w:color w:val="000000"/>
                <w:szCs w:val="21"/>
              </w:rPr>
              <w:t>海淀国</w:t>
            </w:r>
            <w:proofErr w:type="gramEnd"/>
            <w:r w:rsidRPr="0062478E">
              <w:rPr>
                <w:rFonts w:ascii="宋体" w:hAnsi="宋体" w:hint="eastAsia"/>
                <w:bCs/>
                <w:iCs/>
                <w:color w:val="000000"/>
                <w:szCs w:val="21"/>
              </w:rPr>
              <w:t>投作为海淀区属规模最大的国有企业，以发挥区属国企促进区域经济发展主力军作用为使命，参与发起设立了 300 亿海淀区建设发展基金、1500 亿中关村并购基金等，资本实力雄厚，是一家产</w:t>
            </w:r>
            <w:proofErr w:type="gramStart"/>
            <w:r w:rsidRPr="0062478E">
              <w:rPr>
                <w:rFonts w:ascii="宋体" w:hAnsi="宋体" w:hint="eastAsia"/>
                <w:bCs/>
                <w:iCs/>
                <w:color w:val="000000"/>
                <w:szCs w:val="21"/>
              </w:rPr>
              <w:t>融结合</w:t>
            </w:r>
            <w:proofErr w:type="gramEnd"/>
            <w:r w:rsidRPr="0062478E">
              <w:rPr>
                <w:rFonts w:ascii="宋体" w:hAnsi="宋体" w:hint="eastAsia"/>
                <w:bCs/>
                <w:iCs/>
                <w:color w:val="000000"/>
                <w:szCs w:val="21"/>
              </w:rPr>
              <w:t>的综合金融控股集团。</w:t>
            </w:r>
            <w:r w:rsidRPr="0062478E">
              <w:rPr>
                <w:rFonts w:ascii="宋体" w:hAnsi="宋体"/>
                <w:bCs/>
                <w:iCs/>
                <w:color w:val="000000"/>
                <w:szCs w:val="21"/>
              </w:rPr>
              <w:cr/>
            </w:r>
            <w:r>
              <w:rPr>
                <w:rFonts w:ascii="宋体" w:hAnsi="宋体"/>
                <w:bCs/>
                <w:iCs/>
                <w:color w:val="000000"/>
                <w:szCs w:val="21"/>
              </w:rPr>
              <w:t xml:space="preserve">    </w:t>
            </w:r>
            <w:r w:rsidR="00376E2B">
              <w:rPr>
                <w:rFonts w:ascii="宋体" w:hAnsi="宋体" w:hint="eastAsia"/>
                <w:bCs/>
                <w:iCs/>
                <w:color w:val="000000"/>
                <w:szCs w:val="21"/>
              </w:rPr>
              <w:t>公司</w:t>
            </w:r>
            <w:r>
              <w:rPr>
                <w:rFonts w:ascii="宋体" w:hAnsi="宋体" w:hint="eastAsia"/>
                <w:bCs/>
                <w:iCs/>
                <w:color w:val="000000"/>
                <w:szCs w:val="21"/>
              </w:rPr>
              <w:t>与</w:t>
            </w:r>
            <w:proofErr w:type="gramStart"/>
            <w:r w:rsidRPr="0062478E">
              <w:rPr>
                <w:rFonts w:ascii="宋体" w:hAnsi="宋体" w:hint="eastAsia"/>
                <w:bCs/>
                <w:iCs/>
                <w:color w:val="000000"/>
                <w:szCs w:val="21"/>
              </w:rPr>
              <w:t>海淀国投</w:t>
            </w:r>
            <w:r>
              <w:rPr>
                <w:rFonts w:ascii="宋体" w:hAnsi="宋体" w:hint="eastAsia"/>
                <w:bCs/>
                <w:iCs/>
                <w:color w:val="000000"/>
                <w:szCs w:val="21"/>
              </w:rPr>
              <w:t>将</w:t>
            </w:r>
            <w:proofErr w:type="gramEnd"/>
            <w:r w:rsidRPr="0062478E">
              <w:rPr>
                <w:rFonts w:ascii="宋体" w:hAnsi="宋体" w:hint="eastAsia"/>
                <w:bCs/>
                <w:iCs/>
                <w:color w:val="000000"/>
                <w:szCs w:val="21"/>
              </w:rPr>
              <w:t>利用各自的优势资源、专业</w:t>
            </w:r>
            <w:r w:rsidR="008C1014">
              <w:rPr>
                <w:rFonts w:ascii="宋体" w:hAnsi="宋体" w:hint="eastAsia"/>
                <w:bCs/>
                <w:iCs/>
                <w:color w:val="000000"/>
                <w:szCs w:val="21"/>
              </w:rPr>
              <w:t>经验</w:t>
            </w:r>
            <w:r w:rsidRPr="0062478E">
              <w:rPr>
                <w:rFonts w:ascii="宋体" w:hAnsi="宋体" w:hint="eastAsia"/>
                <w:bCs/>
                <w:iCs/>
                <w:color w:val="000000"/>
                <w:szCs w:val="21"/>
              </w:rPr>
              <w:t>及业务平台，</w:t>
            </w:r>
            <w:r w:rsidR="008C1014">
              <w:rPr>
                <w:rFonts w:ascii="宋体" w:hAnsi="宋体" w:hint="eastAsia"/>
                <w:bCs/>
                <w:iCs/>
                <w:color w:val="000000"/>
                <w:szCs w:val="21"/>
              </w:rPr>
              <w:t>建立轨道交通运营维护领域</w:t>
            </w:r>
            <w:r w:rsidRPr="0062478E">
              <w:rPr>
                <w:rFonts w:ascii="宋体" w:hAnsi="宋体" w:hint="eastAsia"/>
                <w:bCs/>
                <w:iCs/>
                <w:color w:val="000000"/>
                <w:szCs w:val="21"/>
              </w:rPr>
              <w:t>协同发展</w:t>
            </w:r>
            <w:r w:rsidR="008C1014">
              <w:rPr>
                <w:rFonts w:ascii="宋体" w:hAnsi="宋体" w:hint="eastAsia"/>
                <w:bCs/>
                <w:iCs/>
                <w:color w:val="000000"/>
                <w:szCs w:val="21"/>
              </w:rPr>
              <w:t>的</w:t>
            </w:r>
            <w:r w:rsidRPr="0062478E">
              <w:rPr>
                <w:rFonts w:ascii="宋体" w:hAnsi="宋体" w:hint="eastAsia"/>
                <w:bCs/>
                <w:iCs/>
                <w:color w:val="000000"/>
                <w:szCs w:val="21"/>
              </w:rPr>
              <w:t>合作伙伴关系</w:t>
            </w:r>
            <w:r w:rsidR="008C1014">
              <w:rPr>
                <w:rFonts w:ascii="宋体" w:hAnsi="宋体" w:hint="eastAsia"/>
                <w:bCs/>
                <w:iCs/>
                <w:color w:val="000000"/>
                <w:szCs w:val="21"/>
              </w:rPr>
              <w:t>，</w:t>
            </w:r>
            <w:r w:rsidR="008C1014" w:rsidRPr="0062478E">
              <w:rPr>
                <w:rFonts w:ascii="宋体" w:hAnsi="宋体" w:hint="eastAsia"/>
                <w:bCs/>
                <w:iCs/>
                <w:color w:val="000000"/>
                <w:szCs w:val="21"/>
              </w:rPr>
              <w:t>促进</w:t>
            </w:r>
            <w:r w:rsidR="008C1014">
              <w:rPr>
                <w:rFonts w:ascii="宋体" w:hAnsi="宋体" w:hint="eastAsia"/>
                <w:bCs/>
                <w:iCs/>
                <w:color w:val="000000"/>
                <w:szCs w:val="21"/>
              </w:rPr>
              <w:t>神州高</w:t>
            </w:r>
            <w:proofErr w:type="gramStart"/>
            <w:r w:rsidR="008C1014">
              <w:rPr>
                <w:rFonts w:ascii="宋体" w:hAnsi="宋体" w:hint="eastAsia"/>
                <w:bCs/>
                <w:iCs/>
                <w:color w:val="000000"/>
                <w:szCs w:val="21"/>
              </w:rPr>
              <w:t>铁</w:t>
            </w:r>
            <w:r w:rsidR="008C1014" w:rsidRPr="0062478E">
              <w:rPr>
                <w:rFonts w:ascii="宋体" w:hAnsi="宋体" w:hint="eastAsia"/>
                <w:bCs/>
                <w:iCs/>
                <w:color w:val="000000"/>
                <w:szCs w:val="21"/>
              </w:rPr>
              <w:t>长期</w:t>
            </w:r>
            <w:proofErr w:type="gramEnd"/>
            <w:r w:rsidR="008C1014" w:rsidRPr="0062478E">
              <w:rPr>
                <w:rFonts w:ascii="宋体" w:hAnsi="宋体" w:hint="eastAsia"/>
                <w:bCs/>
                <w:iCs/>
                <w:color w:val="000000"/>
                <w:szCs w:val="21"/>
              </w:rPr>
              <w:t>健康、稳定发展</w:t>
            </w:r>
            <w:r w:rsidRPr="0062478E">
              <w:rPr>
                <w:rFonts w:ascii="宋体" w:hAnsi="宋体" w:hint="eastAsia"/>
                <w:bCs/>
                <w:iCs/>
                <w:color w:val="000000"/>
                <w:szCs w:val="21"/>
              </w:rPr>
              <w:t>。</w:t>
            </w:r>
          </w:p>
          <w:p w:rsidR="0013653A" w:rsidRPr="00404502" w:rsidRDefault="0013653A" w:rsidP="0013653A">
            <w:pPr>
              <w:spacing w:line="480" w:lineRule="atLeast"/>
              <w:rPr>
                <w:rFonts w:ascii="宋体" w:hAnsi="宋体"/>
                <w:bCs/>
                <w:iCs/>
                <w:color w:val="000000"/>
                <w:szCs w:val="21"/>
              </w:rPr>
            </w:pPr>
            <w:r>
              <w:rPr>
                <w:rFonts w:ascii="宋体" w:hAnsi="宋体" w:hint="eastAsia"/>
                <w:bCs/>
                <w:iCs/>
                <w:color w:val="000000"/>
                <w:szCs w:val="21"/>
              </w:rPr>
              <w:t>四</w:t>
            </w:r>
            <w:r w:rsidRPr="00404502">
              <w:rPr>
                <w:rFonts w:ascii="宋体" w:hAnsi="宋体" w:hint="eastAsia"/>
                <w:bCs/>
                <w:iCs/>
                <w:color w:val="000000"/>
                <w:szCs w:val="21"/>
              </w:rPr>
              <w:t>、互动问答</w:t>
            </w:r>
          </w:p>
          <w:p w:rsidR="0013653A" w:rsidRDefault="00AD54E2" w:rsidP="0013653A">
            <w:pPr>
              <w:spacing w:line="480" w:lineRule="atLeast"/>
              <w:rPr>
                <w:rFonts w:ascii="宋体" w:hAnsi="宋体"/>
                <w:bCs/>
                <w:iCs/>
                <w:color w:val="000000"/>
                <w:szCs w:val="21"/>
              </w:rPr>
            </w:pPr>
            <w:r>
              <w:rPr>
                <w:rFonts w:ascii="宋体" w:hAnsi="宋体" w:hint="eastAsia"/>
                <w:bCs/>
                <w:iCs/>
                <w:color w:val="000000"/>
                <w:szCs w:val="21"/>
              </w:rPr>
              <w:t>1、请详细介绍公司三大核心业务的规划情况。</w:t>
            </w:r>
          </w:p>
          <w:p w:rsidR="00DE3DAF" w:rsidRDefault="00AD54E2" w:rsidP="003C420A">
            <w:pPr>
              <w:spacing w:line="480" w:lineRule="atLeast"/>
              <w:ind w:firstLineChars="200" w:firstLine="420"/>
            </w:pPr>
            <w:r>
              <w:rPr>
                <w:rFonts w:ascii="宋体" w:hAnsi="宋体" w:hint="eastAsia"/>
                <w:bCs/>
                <w:iCs/>
                <w:color w:val="000000"/>
                <w:szCs w:val="21"/>
              </w:rPr>
              <w:t>答：</w:t>
            </w:r>
            <w:r w:rsidR="00DE3DAF">
              <w:rPr>
                <w:rFonts w:ascii="宋体" w:hAnsi="宋体" w:hint="eastAsia"/>
                <w:bCs/>
                <w:iCs/>
                <w:color w:val="000000"/>
                <w:szCs w:val="21"/>
              </w:rPr>
              <w:t>公司</w:t>
            </w:r>
            <w:r w:rsidR="00DE3DAF">
              <w:t>三大核心业务</w:t>
            </w:r>
            <w:r>
              <w:rPr>
                <w:rFonts w:hint="eastAsia"/>
              </w:rPr>
              <w:t>具体规划情况如下：</w:t>
            </w:r>
          </w:p>
          <w:p w:rsidR="00DE3DAF" w:rsidRDefault="00DE3DAF" w:rsidP="00416B85">
            <w:pPr>
              <w:spacing w:line="480" w:lineRule="atLeast"/>
            </w:pPr>
            <w:r>
              <w:rPr>
                <w:rFonts w:hint="eastAsia"/>
              </w:rPr>
              <w:t>（</w:t>
            </w:r>
            <w:r>
              <w:rPr>
                <w:rFonts w:hint="eastAsia"/>
              </w:rPr>
              <w:t>1</w:t>
            </w:r>
            <w:r>
              <w:rPr>
                <w:rFonts w:hint="eastAsia"/>
              </w:rPr>
              <w:t>）</w:t>
            </w:r>
            <w:r>
              <w:t>智能设备</w:t>
            </w:r>
          </w:p>
          <w:p w:rsidR="00DE3DAF" w:rsidRDefault="0042012D" w:rsidP="003C420A">
            <w:pPr>
              <w:spacing w:line="480" w:lineRule="atLeast"/>
              <w:ind w:firstLineChars="200" w:firstLine="420"/>
              <w:rPr>
                <w:rFonts w:ascii="宋体" w:hAnsi="宋体"/>
                <w:bCs/>
                <w:iCs/>
                <w:color w:val="000000"/>
                <w:szCs w:val="21"/>
              </w:rPr>
            </w:pPr>
            <w:r>
              <w:rPr>
                <w:rFonts w:ascii="宋体" w:hAnsi="宋体" w:hint="eastAsia"/>
                <w:bCs/>
                <w:iCs/>
                <w:color w:val="000000"/>
                <w:szCs w:val="21"/>
              </w:rPr>
              <w:lastRenderedPageBreak/>
              <w:t>公司</w:t>
            </w:r>
            <w:r w:rsidR="00DE3DAF" w:rsidRPr="00DE3DAF">
              <w:rPr>
                <w:rFonts w:ascii="宋体" w:hAnsi="宋体" w:hint="eastAsia"/>
                <w:bCs/>
                <w:iCs/>
                <w:color w:val="000000"/>
                <w:szCs w:val="21"/>
              </w:rPr>
              <w:t>将通过打造智能设备、智能</w:t>
            </w:r>
            <w:proofErr w:type="gramStart"/>
            <w:r w:rsidR="00DE3DAF" w:rsidRPr="00DE3DAF">
              <w:rPr>
                <w:rFonts w:ascii="宋体" w:hAnsi="宋体" w:hint="eastAsia"/>
                <w:bCs/>
                <w:iCs/>
                <w:color w:val="000000"/>
                <w:szCs w:val="21"/>
              </w:rPr>
              <w:t>检修线</w:t>
            </w:r>
            <w:proofErr w:type="gramEnd"/>
            <w:r w:rsidR="00DE3DAF" w:rsidRPr="00DE3DAF">
              <w:rPr>
                <w:rFonts w:ascii="宋体" w:hAnsi="宋体" w:hint="eastAsia"/>
                <w:bCs/>
                <w:iCs/>
                <w:color w:val="000000"/>
                <w:szCs w:val="21"/>
              </w:rPr>
              <w:t>和智能检修工厂以加速实施设备智能升级战略，力争在五年内完成传统设备智能升级、打造若干条机器会说话、设备会通话、人机会对话的自动智能智慧检修流水线，并建成中国轨道交通 4.0 检修示范工厂。</w:t>
            </w:r>
          </w:p>
          <w:p w:rsidR="00DE3DAF" w:rsidRDefault="00DE3DAF" w:rsidP="00DE3DAF">
            <w:pPr>
              <w:spacing w:line="480" w:lineRule="atLeast"/>
            </w:pPr>
            <w:r>
              <w:rPr>
                <w:rFonts w:ascii="宋体" w:hAnsi="宋体" w:hint="eastAsia"/>
                <w:bCs/>
                <w:iCs/>
                <w:color w:val="000000"/>
                <w:szCs w:val="21"/>
              </w:rPr>
              <w:t>（2）</w:t>
            </w:r>
            <w:r>
              <w:t>产业大数据</w:t>
            </w:r>
          </w:p>
          <w:p w:rsidR="00AD54E2" w:rsidRDefault="00DE3DAF" w:rsidP="003C420A">
            <w:pPr>
              <w:spacing w:line="480" w:lineRule="atLeast"/>
              <w:ind w:firstLineChars="200" w:firstLine="420"/>
              <w:rPr>
                <w:rFonts w:ascii="宋体" w:hAnsi="宋体"/>
                <w:bCs/>
                <w:iCs/>
                <w:color w:val="000000"/>
                <w:szCs w:val="21"/>
              </w:rPr>
            </w:pPr>
            <w:r w:rsidRPr="00DE3DAF">
              <w:rPr>
                <w:rFonts w:ascii="宋体" w:hAnsi="宋体" w:hint="eastAsia"/>
                <w:bCs/>
                <w:iCs/>
                <w:color w:val="000000"/>
                <w:szCs w:val="21"/>
              </w:rPr>
              <w:t>为紧跟数字化时代要求，</w:t>
            </w:r>
            <w:r w:rsidR="0042012D">
              <w:rPr>
                <w:rFonts w:ascii="宋体" w:hAnsi="宋体" w:hint="eastAsia"/>
                <w:bCs/>
                <w:iCs/>
                <w:color w:val="000000"/>
                <w:szCs w:val="21"/>
              </w:rPr>
              <w:t>公司</w:t>
            </w:r>
            <w:r w:rsidRPr="00DE3DAF">
              <w:rPr>
                <w:rFonts w:ascii="宋体" w:hAnsi="宋体" w:hint="eastAsia"/>
                <w:bCs/>
                <w:iCs/>
                <w:color w:val="000000"/>
                <w:szCs w:val="21"/>
              </w:rPr>
              <w:t>大力布局产业大数据，主要包括：管道业务、云平台业务、信息化业务和系统仿真业务。</w:t>
            </w:r>
            <w:r w:rsidRPr="00DE3DAF">
              <w:rPr>
                <w:rFonts w:ascii="宋体" w:hAnsi="宋体"/>
                <w:bCs/>
                <w:iCs/>
                <w:color w:val="000000"/>
                <w:szCs w:val="21"/>
              </w:rPr>
              <w:cr/>
            </w:r>
            <w:r>
              <w:rPr>
                <w:rFonts w:ascii="宋体" w:hAnsi="宋体" w:hint="eastAsia"/>
                <w:bCs/>
                <w:iCs/>
                <w:color w:val="000000"/>
                <w:szCs w:val="21"/>
              </w:rPr>
              <w:t>（3）</w:t>
            </w:r>
            <w:r w:rsidRPr="00DE3DAF">
              <w:rPr>
                <w:rFonts w:ascii="宋体" w:hAnsi="宋体" w:hint="eastAsia"/>
                <w:bCs/>
                <w:iCs/>
                <w:color w:val="000000"/>
                <w:szCs w:val="21"/>
              </w:rPr>
              <w:t>工业服务</w:t>
            </w:r>
            <w:r w:rsidRPr="00DE3DAF">
              <w:rPr>
                <w:rFonts w:ascii="宋体" w:hAnsi="宋体"/>
                <w:bCs/>
                <w:iCs/>
                <w:color w:val="000000"/>
                <w:szCs w:val="21"/>
              </w:rPr>
              <w:cr/>
            </w:r>
            <w:r w:rsidR="00AD54E2">
              <w:rPr>
                <w:rFonts w:ascii="宋体" w:hAnsi="宋体" w:hint="eastAsia"/>
                <w:bCs/>
                <w:iCs/>
                <w:color w:val="000000"/>
                <w:szCs w:val="21"/>
              </w:rPr>
              <w:t xml:space="preserve">    </w:t>
            </w:r>
            <w:r w:rsidR="0042012D">
              <w:rPr>
                <w:rFonts w:ascii="宋体" w:hAnsi="宋体" w:hint="eastAsia"/>
                <w:bCs/>
                <w:iCs/>
                <w:color w:val="000000"/>
                <w:szCs w:val="21"/>
              </w:rPr>
              <w:t>公司</w:t>
            </w:r>
            <w:r w:rsidRPr="00DE3DAF">
              <w:rPr>
                <w:rFonts w:ascii="宋体" w:hAnsi="宋体" w:hint="eastAsia"/>
                <w:bCs/>
                <w:iCs/>
                <w:color w:val="000000"/>
                <w:szCs w:val="21"/>
              </w:rPr>
              <w:t>工业服务战略的推进路径分为三个阶段：第一阶段是借助</w:t>
            </w:r>
            <w:proofErr w:type="gramStart"/>
            <w:r w:rsidRPr="00DE3DAF">
              <w:rPr>
                <w:rFonts w:ascii="宋体" w:hAnsi="宋体" w:hint="eastAsia"/>
                <w:bCs/>
                <w:iCs/>
                <w:color w:val="000000"/>
                <w:szCs w:val="21"/>
              </w:rPr>
              <w:t>城轨市场</w:t>
            </w:r>
            <w:proofErr w:type="gramEnd"/>
            <w:r w:rsidRPr="00DE3DAF">
              <w:rPr>
                <w:rFonts w:ascii="宋体" w:hAnsi="宋体" w:hint="eastAsia"/>
                <w:bCs/>
                <w:iCs/>
                <w:color w:val="000000"/>
                <w:szCs w:val="21"/>
              </w:rPr>
              <w:t>高速发展的东风，全面</w:t>
            </w:r>
            <w:proofErr w:type="gramStart"/>
            <w:r w:rsidRPr="00DE3DAF">
              <w:rPr>
                <w:rFonts w:ascii="宋体" w:hAnsi="宋体" w:hint="eastAsia"/>
                <w:bCs/>
                <w:iCs/>
                <w:color w:val="000000"/>
                <w:szCs w:val="21"/>
              </w:rPr>
              <w:t>进军城轨市场</w:t>
            </w:r>
            <w:proofErr w:type="gramEnd"/>
            <w:r w:rsidRPr="00DE3DAF">
              <w:rPr>
                <w:rFonts w:ascii="宋体" w:hAnsi="宋体" w:hint="eastAsia"/>
                <w:bCs/>
                <w:iCs/>
                <w:color w:val="000000"/>
                <w:szCs w:val="21"/>
              </w:rPr>
              <w:t>；第二阶段是借助国家一带一路战略搭船出海，跟随国家进军海外；第三阶段是围绕国家“八纵八横”战略，选项突破大铁市场。</w:t>
            </w:r>
          </w:p>
          <w:p w:rsidR="00AD54E2" w:rsidRDefault="00AD54E2" w:rsidP="00AD54E2">
            <w:pPr>
              <w:spacing w:line="480" w:lineRule="atLeast"/>
              <w:rPr>
                <w:rFonts w:ascii="宋体" w:hAnsi="宋体"/>
                <w:bCs/>
                <w:iCs/>
                <w:color w:val="000000"/>
                <w:szCs w:val="21"/>
              </w:rPr>
            </w:pPr>
            <w:r>
              <w:rPr>
                <w:rFonts w:ascii="宋体" w:hAnsi="宋体" w:hint="eastAsia"/>
                <w:bCs/>
                <w:iCs/>
                <w:color w:val="000000"/>
                <w:szCs w:val="21"/>
              </w:rPr>
              <w:t>2、公司将如何落实实施2020战略规划？</w:t>
            </w:r>
          </w:p>
          <w:p w:rsidR="00AD54E2" w:rsidRPr="00404502" w:rsidRDefault="00AD54E2" w:rsidP="003C420A">
            <w:pPr>
              <w:spacing w:line="480" w:lineRule="atLeast"/>
              <w:ind w:firstLineChars="200" w:firstLine="420"/>
              <w:rPr>
                <w:rFonts w:ascii="宋体" w:hAnsi="宋体"/>
                <w:bCs/>
                <w:iCs/>
                <w:color w:val="000000"/>
                <w:szCs w:val="21"/>
              </w:rPr>
            </w:pPr>
            <w:r>
              <w:rPr>
                <w:rFonts w:ascii="宋体" w:hAnsi="宋体" w:hint="eastAsia"/>
                <w:bCs/>
                <w:iCs/>
                <w:color w:val="000000"/>
                <w:szCs w:val="21"/>
              </w:rPr>
              <w:t>答：</w:t>
            </w:r>
            <w:r w:rsidRPr="00376E2B">
              <w:rPr>
                <w:rFonts w:ascii="宋体" w:hAnsi="宋体" w:hint="eastAsia"/>
                <w:bCs/>
                <w:iCs/>
                <w:color w:val="000000"/>
                <w:szCs w:val="21"/>
              </w:rPr>
              <w:t>首先，公司已经布局</w:t>
            </w:r>
            <w:proofErr w:type="gramStart"/>
            <w:r w:rsidRPr="00376E2B">
              <w:rPr>
                <w:rFonts w:ascii="宋体" w:hAnsi="宋体" w:hint="eastAsia"/>
                <w:bCs/>
                <w:iCs/>
                <w:color w:val="000000"/>
                <w:szCs w:val="21"/>
              </w:rPr>
              <w:t>组建机</w:t>
            </w:r>
            <w:proofErr w:type="gramEnd"/>
            <w:r w:rsidRPr="00376E2B">
              <w:rPr>
                <w:rFonts w:ascii="宋体" w:hAnsi="宋体" w:hint="eastAsia"/>
                <w:bCs/>
                <w:iCs/>
                <w:color w:val="000000"/>
                <w:szCs w:val="21"/>
              </w:rPr>
              <w:t>辆、线路、信号、供电、站场、大数据和工业服务专业集团公司，实现产品线专业化。其次，公司构建大铁、城轨、海外三大市场平台体系，在实现公司内部集群作战的同时，又保证对细分市场的精耕细作。再次，通过 PPP 建线、投资建厂和示范建点等商业模式的综合创新，神州高铁将成为为城市轨道交通运营维护体系的系统布局及整体方案提供商、设备提供商和服务提供商。</w:t>
            </w:r>
            <w:r w:rsidR="00DE3DAF" w:rsidRPr="00DE3DAF">
              <w:rPr>
                <w:rFonts w:ascii="宋体" w:hAnsi="宋体"/>
                <w:bCs/>
                <w:iCs/>
                <w:color w:val="000000"/>
                <w:szCs w:val="21"/>
              </w:rPr>
              <w:cr/>
            </w:r>
            <w:r>
              <w:rPr>
                <w:rFonts w:ascii="宋体" w:hAnsi="宋体" w:hint="eastAsia"/>
                <w:bCs/>
                <w:iCs/>
                <w:color w:val="000000"/>
                <w:szCs w:val="21"/>
              </w:rPr>
              <w:t>3</w:t>
            </w:r>
            <w:r w:rsidRPr="00404502">
              <w:rPr>
                <w:rFonts w:ascii="宋体" w:hAnsi="宋体" w:hint="eastAsia"/>
                <w:bCs/>
                <w:iCs/>
                <w:color w:val="000000"/>
                <w:szCs w:val="21"/>
              </w:rPr>
              <w:t>、</w:t>
            </w:r>
            <w:proofErr w:type="gramStart"/>
            <w:r>
              <w:rPr>
                <w:rFonts w:ascii="宋体" w:hAnsi="宋体" w:hint="eastAsia"/>
                <w:bCs/>
                <w:iCs/>
                <w:color w:val="000000"/>
                <w:szCs w:val="21"/>
              </w:rPr>
              <w:t>海淀国</w:t>
            </w:r>
            <w:proofErr w:type="gramEnd"/>
            <w:r>
              <w:rPr>
                <w:rFonts w:ascii="宋体" w:hAnsi="宋体" w:hint="eastAsia"/>
                <w:bCs/>
                <w:iCs/>
                <w:color w:val="000000"/>
                <w:szCs w:val="21"/>
              </w:rPr>
              <w:t>投</w:t>
            </w:r>
            <w:r>
              <w:rPr>
                <w:rFonts w:ascii="宋体" w:hAnsi="宋体"/>
                <w:bCs/>
                <w:iCs/>
                <w:color w:val="000000"/>
                <w:szCs w:val="21"/>
              </w:rPr>
              <w:t>的</w:t>
            </w:r>
            <w:r>
              <w:rPr>
                <w:rFonts w:ascii="宋体" w:hAnsi="宋体" w:hint="eastAsia"/>
                <w:bCs/>
                <w:iCs/>
                <w:color w:val="000000"/>
                <w:szCs w:val="21"/>
              </w:rPr>
              <w:t>入股及合作</w:t>
            </w:r>
            <w:r>
              <w:rPr>
                <w:rFonts w:ascii="宋体" w:hAnsi="宋体"/>
                <w:bCs/>
                <w:iCs/>
                <w:color w:val="000000"/>
                <w:szCs w:val="21"/>
              </w:rPr>
              <w:t>能为</w:t>
            </w:r>
            <w:r>
              <w:rPr>
                <w:rFonts w:ascii="宋体" w:hAnsi="宋体" w:hint="eastAsia"/>
                <w:bCs/>
                <w:iCs/>
                <w:color w:val="000000"/>
                <w:szCs w:val="21"/>
              </w:rPr>
              <w:t>神州</w:t>
            </w:r>
            <w:r>
              <w:rPr>
                <w:rFonts w:ascii="宋体" w:hAnsi="宋体"/>
                <w:bCs/>
                <w:iCs/>
                <w:color w:val="000000"/>
                <w:szCs w:val="21"/>
              </w:rPr>
              <w:t>高铁</w:t>
            </w:r>
            <w:r>
              <w:rPr>
                <w:rFonts w:ascii="宋体" w:hAnsi="宋体" w:hint="eastAsia"/>
                <w:bCs/>
                <w:iCs/>
                <w:color w:val="000000"/>
                <w:szCs w:val="21"/>
              </w:rPr>
              <w:t>的</w:t>
            </w:r>
            <w:r>
              <w:rPr>
                <w:rFonts w:ascii="宋体" w:hAnsi="宋体"/>
                <w:bCs/>
                <w:iCs/>
                <w:color w:val="000000"/>
                <w:szCs w:val="21"/>
              </w:rPr>
              <w:t>发展带来哪些</w:t>
            </w:r>
            <w:r>
              <w:rPr>
                <w:rFonts w:ascii="宋体" w:hAnsi="宋体" w:hint="eastAsia"/>
                <w:bCs/>
                <w:iCs/>
                <w:color w:val="000000"/>
                <w:szCs w:val="21"/>
              </w:rPr>
              <w:t>机遇？</w:t>
            </w:r>
          </w:p>
          <w:p w:rsidR="00AD54E2" w:rsidRPr="00404502" w:rsidRDefault="00AD54E2" w:rsidP="003C420A">
            <w:pPr>
              <w:spacing w:line="480" w:lineRule="atLeast"/>
              <w:ind w:firstLineChars="200" w:firstLine="420"/>
              <w:rPr>
                <w:rFonts w:ascii="宋体" w:hAnsi="宋体"/>
                <w:bCs/>
                <w:iCs/>
                <w:color w:val="000000"/>
                <w:szCs w:val="21"/>
              </w:rPr>
            </w:pPr>
            <w:r w:rsidRPr="00404502">
              <w:rPr>
                <w:rFonts w:ascii="宋体" w:hAnsi="宋体" w:hint="eastAsia"/>
                <w:bCs/>
                <w:iCs/>
                <w:color w:val="000000"/>
                <w:szCs w:val="21"/>
              </w:rPr>
              <w:t>答：</w:t>
            </w:r>
            <w:r w:rsidRPr="00AD54E2">
              <w:rPr>
                <w:rFonts w:ascii="宋体" w:hAnsi="宋体" w:hint="eastAsia"/>
                <w:bCs/>
                <w:iCs/>
                <w:color w:val="000000"/>
                <w:szCs w:val="21"/>
              </w:rPr>
              <w:t>公司与</w:t>
            </w:r>
            <w:proofErr w:type="gramStart"/>
            <w:r w:rsidRPr="00AD54E2">
              <w:rPr>
                <w:rFonts w:ascii="宋体" w:hAnsi="宋体" w:hint="eastAsia"/>
                <w:bCs/>
                <w:iCs/>
                <w:color w:val="000000"/>
                <w:szCs w:val="21"/>
              </w:rPr>
              <w:t>海淀国投建立</w:t>
            </w:r>
            <w:proofErr w:type="gramEnd"/>
            <w:r w:rsidRPr="00AD54E2">
              <w:rPr>
                <w:rFonts w:ascii="宋体" w:hAnsi="宋体" w:hint="eastAsia"/>
                <w:bCs/>
                <w:iCs/>
                <w:color w:val="000000"/>
                <w:szCs w:val="21"/>
              </w:rPr>
              <w:t>战略合作关系，一方面借助国有资本的政策优势、地域优势，为公司创造良好的外部发展环境，搭建公司与海淀区、北京市及京津</w:t>
            </w:r>
            <w:proofErr w:type="gramStart"/>
            <w:r w:rsidRPr="00AD54E2">
              <w:rPr>
                <w:rFonts w:ascii="宋体" w:hAnsi="宋体" w:hint="eastAsia"/>
                <w:bCs/>
                <w:iCs/>
                <w:color w:val="000000"/>
                <w:szCs w:val="21"/>
              </w:rPr>
              <w:t>冀相关</w:t>
            </w:r>
            <w:proofErr w:type="gramEnd"/>
            <w:r w:rsidRPr="00AD54E2">
              <w:rPr>
                <w:rFonts w:ascii="宋体" w:hAnsi="宋体" w:hint="eastAsia"/>
                <w:bCs/>
                <w:iCs/>
                <w:color w:val="000000"/>
                <w:szCs w:val="21"/>
              </w:rPr>
              <w:t>的政府资源和政策资源的对接合作平台；另一方面通过共享</w:t>
            </w:r>
            <w:proofErr w:type="gramStart"/>
            <w:r w:rsidRPr="00AD54E2">
              <w:rPr>
                <w:rFonts w:ascii="宋体" w:hAnsi="宋体" w:hint="eastAsia"/>
                <w:bCs/>
                <w:iCs/>
                <w:color w:val="000000"/>
                <w:szCs w:val="21"/>
              </w:rPr>
              <w:t>海淀国</w:t>
            </w:r>
            <w:proofErr w:type="gramEnd"/>
            <w:r w:rsidRPr="00AD54E2">
              <w:rPr>
                <w:rFonts w:ascii="宋体" w:hAnsi="宋体" w:hint="eastAsia"/>
                <w:bCs/>
                <w:iCs/>
                <w:color w:val="000000"/>
                <w:szCs w:val="21"/>
              </w:rPr>
              <w:t>投的产业资源，进一步拓宽公司在现代轨道交通产业的布局，加快公司产业并购整合，推动公司业务持续发展。此外，</w:t>
            </w:r>
            <w:proofErr w:type="gramStart"/>
            <w:r w:rsidRPr="00AD54E2">
              <w:rPr>
                <w:rFonts w:ascii="宋体" w:hAnsi="宋体" w:hint="eastAsia"/>
                <w:bCs/>
                <w:iCs/>
                <w:color w:val="000000"/>
                <w:szCs w:val="21"/>
              </w:rPr>
              <w:t>海淀国投强大</w:t>
            </w:r>
            <w:proofErr w:type="gramEnd"/>
            <w:r w:rsidRPr="00AD54E2">
              <w:rPr>
                <w:rFonts w:ascii="宋体" w:hAnsi="宋体" w:hint="eastAsia"/>
                <w:bCs/>
                <w:iCs/>
                <w:color w:val="000000"/>
                <w:szCs w:val="21"/>
              </w:rPr>
              <w:t>的资本与金融实力也将成为公司外延发展及产业整合的有力支撑，从而实现公司成为世界轨道交通行业卓越企业的</w:t>
            </w:r>
            <w:proofErr w:type="gramStart"/>
            <w:r w:rsidRPr="00AD54E2">
              <w:rPr>
                <w:rFonts w:ascii="宋体" w:hAnsi="宋体" w:hint="eastAsia"/>
                <w:bCs/>
                <w:iCs/>
                <w:color w:val="000000"/>
                <w:szCs w:val="21"/>
              </w:rPr>
              <w:t>宏伟愿景</w:t>
            </w:r>
            <w:proofErr w:type="gramEnd"/>
            <w:r w:rsidRPr="00AD54E2">
              <w:rPr>
                <w:rFonts w:ascii="宋体" w:hAnsi="宋体" w:hint="eastAsia"/>
                <w:bCs/>
                <w:iCs/>
                <w:color w:val="000000"/>
                <w:szCs w:val="21"/>
              </w:rPr>
              <w:t>。</w:t>
            </w:r>
          </w:p>
        </w:tc>
      </w:tr>
      <w:tr w:rsidR="00F8459D" w:rsidRPr="00043C99" w:rsidTr="008408C4">
        <w:trPr>
          <w:trHeight w:val="631"/>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F8459D" w:rsidRPr="00043C99" w:rsidRDefault="00F8459D" w:rsidP="008408C4">
            <w:pPr>
              <w:spacing w:line="480" w:lineRule="atLeast"/>
              <w:rPr>
                <w:rFonts w:ascii="宋体" w:hAnsi="宋体"/>
                <w:bCs/>
                <w:iCs/>
                <w:color w:val="000000"/>
                <w:sz w:val="24"/>
              </w:rPr>
            </w:pPr>
            <w:r w:rsidRPr="00043C99">
              <w:rPr>
                <w:rFonts w:ascii="宋体" w:hAnsi="宋体" w:hint="eastAsia"/>
                <w:bCs/>
                <w:iCs/>
                <w:color w:val="000000"/>
                <w:sz w:val="24"/>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F8459D" w:rsidRPr="00043C99" w:rsidRDefault="009B155F" w:rsidP="008408C4">
            <w:pPr>
              <w:spacing w:line="480" w:lineRule="atLeast"/>
              <w:rPr>
                <w:rFonts w:ascii="宋体" w:hAnsi="宋体"/>
                <w:bCs/>
                <w:iCs/>
                <w:color w:val="000000"/>
                <w:sz w:val="24"/>
              </w:rPr>
            </w:pPr>
            <w:r>
              <w:rPr>
                <w:rFonts w:ascii="宋体" w:hAnsi="宋体" w:hint="eastAsia"/>
                <w:bCs/>
                <w:iCs/>
                <w:color w:val="000000"/>
                <w:sz w:val="24"/>
              </w:rPr>
              <w:t>无</w:t>
            </w:r>
          </w:p>
        </w:tc>
      </w:tr>
      <w:tr w:rsidR="00F8459D" w:rsidRPr="00043C99" w:rsidTr="008408C4">
        <w:trPr>
          <w:trHeight w:val="709"/>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F8459D" w:rsidRPr="00043C99" w:rsidRDefault="00F8459D" w:rsidP="008408C4">
            <w:pPr>
              <w:spacing w:line="480" w:lineRule="atLeast"/>
              <w:rPr>
                <w:rFonts w:ascii="宋体" w:hAnsi="宋体"/>
                <w:bCs/>
                <w:iCs/>
                <w:color w:val="000000"/>
                <w:sz w:val="24"/>
              </w:rPr>
            </w:pPr>
            <w:r w:rsidRPr="00043C99">
              <w:rPr>
                <w:rFonts w:ascii="宋体" w:hAnsi="宋体" w:hint="eastAsia"/>
                <w:bCs/>
                <w:iCs/>
                <w:color w:val="000000"/>
                <w:sz w:val="24"/>
              </w:rPr>
              <w:t>日期</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F8459D" w:rsidRPr="00043C99" w:rsidRDefault="00DB2850" w:rsidP="00EC3A97">
            <w:pPr>
              <w:spacing w:line="480" w:lineRule="atLeast"/>
              <w:rPr>
                <w:rFonts w:ascii="宋体" w:hAnsi="宋体"/>
                <w:bCs/>
                <w:iCs/>
                <w:color w:val="000000"/>
                <w:sz w:val="24"/>
              </w:rPr>
            </w:pPr>
            <w:r w:rsidRPr="00043C99">
              <w:rPr>
                <w:rFonts w:ascii="宋体" w:hAnsi="宋体" w:hint="eastAsia"/>
                <w:bCs/>
                <w:iCs/>
                <w:color w:val="000000"/>
                <w:sz w:val="24"/>
              </w:rPr>
              <w:t>201</w:t>
            </w:r>
            <w:r w:rsidR="00EC3A97">
              <w:rPr>
                <w:rFonts w:ascii="宋体" w:hAnsi="宋体"/>
                <w:bCs/>
                <w:iCs/>
                <w:color w:val="000000"/>
                <w:sz w:val="24"/>
              </w:rPr>
              <w:t>7</w:t>
            </w:r>
            <w:r w:rsidRPr="00043C99">
              <w:rPr>
                <w:rFonts w:ascii="宋体" w:hAnsi="宋体" w:hint="eastAsia"/>
                <w:bCs/>
                <w:iCs/>
                <w:color w:val="000000"/>
                <w:sz w:val="24"/>
              </w:rPr>
              <w:t>.</w:t>
            </w:r>
            <w:r w:rsidR="00EC3A97">
              <w:rPr>
                <w:rFonts w:ascii="宋体" w:hAnsi="宋体"/>
                <w:bCs/>
                <w:iCs/>
                <w:color w:val="000000"/>
                <w:sz w:val="24"/>
              </w:rPr>
              <w:t>1</w:t>
            </w:r>
            <w:r w:rsidRPr="00043C99">
              <w:rPr>
                <w:rFonts w:ascii="宋体" w:hAnsi="宋体" w:hint="eastAsia"/>
                <w:bCs/>
                <w:iCs/>
                <w:color w:val="000000"/>
                <w:sz w:val="24"/>
              </w:rPr>
              <w:t>.</w:t>
            </w:r>
            <w:r w:rsidR="00EC3A97">
              <w:rPr>
                <w:rFonts w:ascii="宋体" w:hAnsi="宋体"/>
                <w:bCs/>
                <w:iCs/>
                <w:color w:val="000000"/>
                <w:sz w:val="24"/>
              </w:rPr>
              <w:t>12</w:t>
            </w:r>
          </w:p>
        </w:tc>
      </w:tr>
    </w:tbl>
    <w:p w:rsidR="00C82DD2" w:rsidRPr="00C82DD2" w:rsidRDefault="00C82DD2" w:rsidP="00D72091">
      <w:pPr>
        <w:rPr>
          <w:rFonts w:ascii="宋体" w:hAnsi="宋体"/>
          <w:sz w:val="28"/>
          <w:szCs w:val="28"/>
        </w:rPr>
      </w:pPr>
    </w:p>
    <w:sectPr w:rsidR="00C82DD2" w:rsidRPr="00C82DD2" w:rsidSect="006A41DF">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404" w:rsidRDefault="00C74404">
      <w:r>
        <w:separator/>
      </w:r>
    </w:p>
  </w:endnote>
  <w:endnote w:type="continuationSeparator" w:id="0">
    <w:p w:rsidR="00C74404" w:rsidRDefault="00C744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7C" w:rsidRDefault="0066161A" w:rsidP="008C387C">
    <w:pPr>
      <w:pStyle w:val="a4"/>
      <w:framePr w:wrap="around" w:vAnchor="text" w:hAnchor="margin" w:xAlign="center" w:y="1"/>
      <w:rPr>
        <w:rStyle w:val="a5"/>
      </w:rPr>
    </w:pPr>
    <w:r>
      <w:rPr>
        <w:rStyle w:val="a5"/>
      </w:rPr>
      <w:fldChar w:fldCharType="begin"/>
    </w:r>
    <w:r w:rsidR="008C387C">
      <w:rPr>
        <w:rStyle w:val="a5"/>
      </w:rPr>
      <w:instrText xml:space="preserve">PAGE  </w:instrText>
    </w:r>
    <w:r>
      <w:rPr>
        <w:rStyle w:val="a5"/>
      </w:rPr>
      <w:fldChar w:fldCharType="end"/>
    </w:r>
  </w:p>
  <w:p w:rsidR="008C387C" w:rsidRDefault="008C387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7C" w:rsidRDefault="0066161A" w:rsidP="008C387C">
    <w:pPr>
      <w:pStyle w:val="a4"/>
      <w:framePr w:wrap="around" w:vAnchor="text" w:hAnchor="margin" w:xAlign="center" w:y="1"/>
      <w:rPr>
        <w:rStyle w:val="a5"/>
      </w:rPr>
    </w:pPr>
    <w:r>
      <w:rPr>
        <w:rStyle w:val="a5"/>
      </w:rPr>
      <w:fldChar w:fldCharType="begin"/>
    </w:r>
    <w:r w:rsidR="008C387C">
      <w:rPr>
        <w:rStyle w:val="a5"/>
      </w:rPr>
      <w:instrText xml:space="preserve">PAGE  </w:instrText>
    </w:r>
    <w:r>
      <w:rPr>
        <w:rStyle w:val="a5"/>
      </w:rPr>
      <w:fldChar w:fldCharType="separate"/>
    </w:r>
    <w:r w:rsidR="0034770D">
      <w:rPr>
        <w:rStyle w:val="a5"/>
        <w:noProof/>
      </w:rPr>
      <w:t>1</w:t>
    </w:r>
    <w:r>
      <w:rPr>
        <w:rStyle w:val="a5"/>
      </w:rPr>
      <w:fldChar w:fldCharType="end"/>
    </w:r>
  </w:p>
  <w:p w:rsidR="008C387C" w:rsidRDefault="008C38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404" w:rsidRDefault="00C74404">
      <w:r>
        <w:separator/>
      </w:r>
    </w:p>
  </w:footnote>
  <w:footnote w:type="continuationSeparator" w:id="0">
    <w:p w:rsidR="00C74404" w:rsidRDefault="00C744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718"/>
    <w:multiLevelType w:val="hybridMultilevel"/>
    <w:tmpl w:val="E91454EC"/>
    <w:lvl w:ilvl="0" w:tplc="8B327B9E">
      <w:start w:val="1"/>
      <w:numFmt w:val="decimal"/>
      <w:lvlText w:val="%1、"/>
      <w:lvlJc w:val="left"/>
      <w:pPr>
        <w:ind w:left="1078" w:hanging="360"/>
      </w:pPr>
      <w:rPr>
        <w:rFonts w:hint="default"/>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1">
    <w:nsid w:val="2ACE531A"/>
    <w:multiLevelType w:val="hybridMultilevel"/>
    <w:tmpl w:val="C6508310"/>
    <w:lvl w:ilvl="0" w:tplc="442C9AC4">
      <w:start w:val="9"/>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3883458E"/>
    <w:multiLevelType w:val="hybridMultilevel"/>
    <w:tmpl w:val="C1F2EA34"/>
    <w:lvl w:ilvl="0" w:tplc="B31481AE">
      <w:start w:val="1"/>
      <w:numFmt w:val="japaneseCounting"/>
      <w:lvlText w:val="%1、"/>
      <w:lvlJc w:val="left"/>
      <w:pPr>
        <w:tabs>
          <w:tab w:val="num" w:pos="480"/>
        </w:tabs>
        <w:ind w:left="480" w:hanging="480"/>
      </w:pPr>
      <w:rPr>
        <w:rFonts w:hint="default"/>
      </w:rPr>
    </w:lvl>
    <w:lvl w:ilvl="1" w:tplc="22B84D32">
      <w:start w:val="1"/>
      <w:numFmt w:val="japaneseCounting"/>
      <w:lvlText w:val="（%2）"/>
      <w:lvlJc w:val="left"/>
      <w:pPr>
        <w:tabs>
          <w:tab w:val="num" w:pos="1140"/>
        </w:tabs>
        <w:ind w:left="1140" w:hanging="720"/>
      </w:pPr>
      <w:rPr>
        <w:rFonts w:hint="default"/>
      </w:rPr>
    </w:lvl>
    <w:lvl w:ilvl="2" w:tplc="8F6A3FD6">
      <w:start w:val="2"/>
      <w:numFmt w:val="decimal"/>
      <w:lvlText w:val="%3、"/>
      <w:lvlJc w:val="left"/>
      <w:pPr>
        <w:tabs>
          <w:tab w:val="num" w:pos="1200"/>
        </w:tabs>
        <w:ind w:left="1200" w:hanging="360"/>
      </w:pPr>
      <w:rPr>
        <w:rFonts w:ascii="Times New Roman" w:hAnsi="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7E55472"/>
    <w:multiLevelType w:val="hybridMultilevel"/>
    <w:tmpl w:val="A732D8D2"/>
    <w:lvl w:ilvl="0" w:tplc="02221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534215"/>
    <w:multiLevelType w:val="hybridMultilevel"/>
    <w:tmpl w:val="D908C070"/>
    <w:lvl w:ilvl="0" w:tplc="DD220346">
      <w:start w:val="5"/>
      <w:numFmt w:val="decimal"/>
      <w:lvlText w:val="%1、"/>
      <w:lvlJc w:val="left"/>
      <w:pPr>
        <w:ind w:left="1078" w:hanging="360"/>
      </w:pPr>
      <w:rPr>
        <w:rFonts w:hint="default"/>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5">
    <w:nsid w:val="77D61108"/>
    <w:multiLevelType w:val="hybridMultilevel"/>
    <w:tmpl w:val="38E04440"/>
    <w:lvl w:ilvl="0" w:tplc="D2602A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47FC"/>
    <w:rsid w:val="00020E79"/>
    <w:rsid w:val="000222ED"/>
    <w:rsid w:val="000340F6"/>
    <w:rsid w:val="000363ED"/>
    <w:rsid w:val="0003738B"/>
    <w:rsid w:val="00043C99"/>
    <w:rsid w:val="00074B67"/>
    <w:rsid w:val="00076C14"/>
    <w:rsid w:val="00080857"/>
    <w:rsid w:val="00080B74"/>
    <w:rsid w:val="000847FC"/>
    <w:rsid w:val="000C0F13"/>
    <w:rsid w:val="000F5E72"/>
    <w:rsid w:val="0010276F"/>
    <w:rsid w:val="001047CD"/>
    <w:rsid w:val="001128EC"/>
    <w:rsid w:val="001136B2"/>
    <w:rsid w:val="0012097B"/>
    <w:rsid w:val="001215DC"/>
    <w:rsid w:val="00127162"/>
    <w:rsid w:val="00135624"/>
    <w:rsid w:val="0013653A"/>
    <w:rsid w:val="001421C2"/>
    <w:rsid w:val="00144295"/>
    <w:rsid w:val="00150001"/>
    <w:rsid w:val="00154D02"/>
    <w:rsid w:val="00161042"/>
    <w:rsid w:val="00163AA6"/>
    <w:rsid w:val="00167730"/>
    <w:rsid w:val="001704E9"/>
    <w:rsid w:val="00173DF8"/>
    <w:rsid w:val="00183EFD"/>
    <w:rsid w:val="0018680A"/>
    <w:rsid w:val="00193D90"/>
    <w:rsid w:val="00195B41"/>
    <w:rsid w:val="001A5218"/>
    <w:rsid w:val="001A697B"/>
    <w:rsid w:val="001C1D3F"/>
    <w:rsid w:val="001E3AFE"/>
    <w:rsid w:val="001E5832"/>
    <w:rsid w:val="001F0C8F"/>
    <w:rsid w:val="001F1F53"/>
    <w:rsid w:val="0020041F"/>
    <w:rsid w:val="00205311"/>
    <w:rsid w:val="00206AF8"/>
    <w:rsid w:val="002176A8"/>
    <w:rsid w:val="00227DF5"/>
    <w:rsid w:val="002329CC"/>
    <w:rsid w:val="00243041"/>
    <w:rsid w:val="00245F1B"/>
    <w:rsid w:val="00245F48"/>
    <w:rsid w:val="0027564F"/>
    <w:rsid w:val="002879DA"/>
    <w:rsid w:val="00290CAA"/>
    <w:rsid w:val="002929F5"/>
    <w:rsid w:val="00295C14"/>
    <w:rsid w:val="00296B97"/>
    <w:rsid w:val="002A3342"/>
    <w:rsid w:val="002B30FF"/>
    <w:rsid w:val="002C09BF"/>
    <w:rsid w:val="003046C9"/>
    <w:rsid w:val="00304E53"/>
    <w:rsid w:val="00310BA9"/>
    <w:rsid w:val="0031145E"/>
    <w:rsid w:val="00312975"/>
    <w:rsid w:val="00313382"/>
    <w:rsid w:val="003207FC"/>
    <w:rsid w:val="00321EC3"/>
    <w:rsid w:val="00323D3A"/>
    <w:rsid w:val="003270CC"/>
    <w:rsid w:val="00331AF1"/>
    <w:rsid w:val="00332C10"/>
    <w:rsid w:val="00332F28"/>
    <w:rsid w:val="00336C52"/>
    <w:rsid w:val="00342C66"/>
    <w:rsid w:val="0034770D"/>
    <w:rsid w:val="003608BF"/>
    <w:rsid w:val="00376E2B"/>
    <w:rsid w:val="00376EDA"/>
    <w:rsid w:val="003840C0"/>
    <w:rsid w:val="0038499D"/>
    <w:rsid w:val="003A4A74"/>
    <w:rsid w:val="003B0952"/>
    <w:rsid w:val="003C1D4E"/>
    <w:rsid w:val="003C1EF0"/>
    <w:rsid w:val="003C420A"/>
    <w:rsid w:val="003F443D"/>
    <w:rsid w:val="00400D37"/>
    <w:rsid w:val="0040263B"/>
    <w:rsid w:val="00404502"/>
    <w:rsid w:val="00405041"/>
    <w:rsid w:val="004072DF"/>
    <w:rsid w:val="00414D10"/>
    <w:rsid w:val="00416B85"/>
    <w:rsid w:val="0042012D"/>
    <w:rsid w:val="00433422"/>
    <w:rsid w:val="004429BA"/>
    <w:rsid w:val="0044428A"/>
    <w:rsid w:val="0044666B"/>
    <w:rsid w:val="004553B7"/>
    <w:rsid w:val="00460983"/>
    <w:rsid w:val="0046496B"/>
    <w:rsid w:val="00471672"/>
    <w:rsid w:val="0048453C"/>
    <w:rsid w:val="00486B92"/>
    <w:rsid w:val="004B741F"/>
    <w:rsid w:val="004C4BE5"/>
    <w:rsid w:val="004C7D2B"/>
    <w:rsid w:val="004D25A7"/>
    <w:rsid w:val="004D2B76"/>
    <w:rsid w:val="004D7B09"/>
    <w:rsid w:val="004D7F06"/>
    <w:rsid w:val="004E2F00"/>
    <w:rsid w:val="004F27AB"/>
    <w:rsid w:val="00505BBE"/>
    <w:rsid w:val="00536095"/>
    <w:rsid w:val="00553BF0"/>
    <w:rsid w:val="00557807"/>
    <w:rsid w:val="00580442"/>
    <w:rsid w:val="005810F1"/>
    <w:rsid w:val="00584146"/>
    <w:rsid w:val="005B410D"/>
    <w:rsid w:val="005C15D6"/>
    <w:rsid w:val="005C46C8"/>
    <w:rsid w:val="005C4E1E"/>
    <w:rsid w:val="005D1213"/>
    <w:rsid w:val="005D5F21"/>
    <w:rsid w:val="005F33D9"/>
    <w:rsid w:val="005F4828"/>
    <w:rsid w:val="00600865"/>
    <w:rsid w:val="00604FD1"/>
    <w:rsid w:val="00614B6E"/>
    <w:rsid w:val="0061579C"/>
    <w:rsid w:val="0062478E"/>
    <w:rsid w:val="00624D8B"/>
    <w:rsid w:val="00625F5A"/>
    <w:rsid w:val="00646388"/>
    <w:rsid w:val="00650733"/>
    <w:rsid w:val="006516DA"/>
    <w:rsid w:val="0066161A"/>
    <w:rsid w:val="00661D94"/>
    <w:rsid w:val="006808CC"/>
    <w:rsid w:val="0068136B"/>
    <w:rsid w:val="006A0192"/>
    <w:rsid w:val="006A41DF"/>
    <w:rsid w:val="006A4D64"/>
    <w:rsid w:val="006A674E"/>
    <w:rsid w:val="006B673B"/>
    <w:rsid w:val="006C7E07"/>
    <w:rsid w:val="006F412F"/>
    <w:rsid w:val="006F46AA"/>
    <w:rsid w:val="00702A9A"/>
    <w:rsid w:val="007031EC"/>
    <w:rsid w:val="00706350"/>
    <w:rsid w:val="00712BB7"/>
    <w:rsid w:val="00714CB6"/>
    <w:rsid w:val="007166B0"/>
    <w:rsid w:val="00717B9E"/>
    <w:rsid w:val="007265B7"/>
    <w:rsid w:val="00731AA5"/>
    <w:rsid w:val="00737825"/>
    <w:rsid w:val="00742AD8"/>
    <w:rsid w:val="0075210E"/>
    <w:rsid w:val="007723D8"/>
    <w:rsid w:val="00776F93"/>
    <w:rsid w:val="007840CA"/>
    <w:rsid w:val="00791A86"/>
    <w:rsid w:val="0079511D"/>
    <w:rsid w:val="007A3A21"/>
    <w:rsid w:val="007B119F"/>
    <w:rsid w:val="007B6501"/>
    <w:rsid w:val="007D0C1C"/>
    <w:rsid w:val="007D24DF"/>
    <w:rsid w:val="007D6B80"/>
    <w:rsid w:val="007E258E"/>
    <w:rsid w:val="007F04D3"/>
    <w:rsid w:val="008007D7"/>
    <w:rsid w:val="00800D77"/>
    <w:rsid w:val="00813BA3"/>
    <w:rsid w:val="0082465D"/>
    <w:rsid w:val="00824DAF"/>
    <w:rsid w:val="00833D97"/>
    <w:rsid w:val="00833F2E"/>
    <w:rsid w:val="008408C4"/>
    <w:rsid w:val="008441BD"/>
    <w:rsid w:val="0084684B"/>
    <w:rsid w:val="008562EE"/>
    <w:rsid w:val="00862E11"/>
    <w:rsid w:val="00872C9E"/>
    <w:rsid w:val="00894127"/>
    <w:rsid w:val="00894CC4"/>
    <w:rsid w:val="008A1AD3"/>
    <w:rsid w:val="008A3DE1"/>
    <w:rsid w:val="008A4A7F"/>
    <w:rsid w:val="008C1014"/>
    <w:rsid w:val="008C2D11"/>
    <w:rsid w:val="008C387C"/>
    <w:rsid w:val="008D0FDA"/>
    <w:rsid w:val="008D18A0"/>
    <w:rsid w:val="008D429B"/>
    <w:rsid w:val="008D4780"/>
    <w:rsid w:val="008D64DE"/>
    <w:rsid w:val="008E0A77"/>
    <w:rsid w:val="00904323"/>
    <w:rsid w:val="00904C48"/>
    <w:rsid w:val="00905A9B"/>
    <w:rsid w:val="00907292"/>
    <w:rsid w:val="00907738"/>
    <w:rsid w:val="00912666"/>
    <w:rsid w:val="0091596F"/>
    <w:rsid w:val="00920902"/>
    <w:rsid w:val="00921DB2"/>
    <w:rsid w:val="009278CF"/>
    <w:rsid w:val="00930A3E"/>
    <w:rsid w:val="0093588D"/>
    <w:rsid w:val="00975B65"/>
    <w:rsid w:val="009A029F"/>
    <w:rsid w:val="009B155F"/>
    <w:rsid w:val="009C2AA0"/>
    <w:rsid w:val="009E2769"/>
    <w:rsid w:val="00A00361"/>
    <w:rsid w:val="00A0611B"/>
    <w:rsid w:val="00A30483"/>
    <w:rsid w:val="00A31A2A"/>
    <w:rsid w:val="00A37D36"/>
    <w:rsid w:val="00A77F60"/>
    <w:rsid w:val="00A80301"/>
    <w:rsid w:val="00A9206F"/>
    <w:rsid w:val="00AA3818"/>
    <w:rsid w:val="00AB38A3"/>
    <w:rsid w:val="00AB6D04"/>
    <w:rsid w:val="00AC43CF"/>
    <w:rsid w:val="00AD54E2"/>
    <w:rsid w:val="00AD5BE4"/>
    <w:rsid w:val="00AF7695"/>
    <w:rsid w:val="00B00687"/>
    <w:rsid w:val="00B05C7A"/>
    <w:rsid w:val="00B25682"/>
    <w:rsid w:val="00B312D1"/>
    <w:rsid w:val="00B3207D"/>
    <w:rsid w:val="00B32A42"/>
    <w:rsid w:val="00B64B30"/>
    <w:rsid w:val="00B6732F"/>
    <w:rsid w:val="00B813D0"/>
    <w:rsid w:val="00B96073"/>
    <w:rsid w:val="00BA737B"/>
    <w:rsid w:val="00BA7562"/>
    <w:rsid w:val="00BB01FB"/>
    <w:rsid w:val="00BB5239"/>
    <w:rsid w:val="00BC2C45"/>
    <w:rsid w:val="00BC760E"/>
    <w:rsid w:val="00BD3A67"/>
    <w:rsid w:val="00BE256A"/>
    <w:rsid w:val="00C0310D"/>
    <w:rsid w:val="00C17AA6"/>
    <w:rsid w:val="00C34DE8"/>
    <w:rsid w:val="00C475C6"/>
    <w:rsid w:val="00C63BDF"/>
    <w:rsid w:val="00C63CE7"/>
    <w:rsid w:val="00C74404"/>
    <w:rsid w:val="00C80DAB"/>
    <w:rsid w:val="00C82DD2"/>
    <w:rsid w:val="00C84A83"/>
    <w:rsid w:val="00C93F08"/>
    <w:rsid w:val="00C979A5"/>
    <w:rsid w:val="00CB4836"/>
    <w:rsid w:val="00CC3D30"/>
    <w:rsid w:val="00CD306B"/>
    <w:rsid w:val="00CD541E"/>
    <w:rsid w:val="00CE66BC"/>
    <w:rsid w:val="00CF1661"/>
    <w:rsid w:val="00CF2879"/>
    <w:rsid w:val="00D262EF"/>
    <w:rsid w:val="00D3053B"/>
    <w:rsid w:val="00D33BE2"/>
    <w:rsid w:val="00D72091"/>
    <w:rsid w:val="00D81255"/>
    <w:rsid w:val="00DA4078"/>
    <w:rsid w:val="00DB2850"/>
    <w:rsid w:val="00DC3E16"/>
    <w:rsid w:val="00DD0AAB"/>
    <w:rsid w:val="00DE3DAF"/>
    <w:rsid w:val="00DF686B"/>
    <w:rsid w:val="00E03FBF"/>
    <w:rsid w:val="00E11E60"/>
    <w:rsid w:val="00E15BCE"/>
    <w:rsid w:val="00E2141E"/>
    <w:rsid w:val="00E242C7"/>
    <w:rsid w:val="00E36057"/>
    <w:rsid w:val="00E51453"/>
    <w:rsid w:val="00E53689"/>
    <w:rsid w:val="00E61CCC"/>
    <w:rsid w:val="00E748F2"/>
    <w:rsid w:val="00E76BEE"/>
    <w:rsid w:val="00E77A15"/>
    <w:rsid w:val="00E87936"/>
    <w:rsid w:val="00E97954"/>
    <w:rsid w:val="00EA4AAB"/>
    <w:rsid w:val="00EC3A97"/>
    <w:rsid w:val="00EC6BCF"/>
    <w:rsid w:val="00EF0334"/>
    <w:rsid w:val="00F15FAD"/>
    <w:rsid w:val="00F433BA"/>
    <w:rsid w:val="00F610B9"/>
    <w:rsid w:val="00F73A86"/>
    <w:rsid w:val="00F8459D"/>
    <w:rsid w:val="00F95664"/>
    <w:rsid w:val="00FA47A8"/>
    <w:rsid w:val="00FA6828"/>
    <w:rsid w:val="00FB7095"/>
    <w:rsid w:val="00FC4D52"/>
    <w:rsid w:val="00FC4D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2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3">
    <w:name w:val="title3"/>
    <w:basedOn w:val="a0"/>
    <w:rsid w:val="008C387C"/>
  </w:style>
  <w:style w:type="character" w:styleId="a3">
    <w:name w:val="Hyperlink"/>
    <w:rsid w:val="008C387C"/>
    <w:rPr>
      <w:color w:val="0000FF"/>
      <w:u w:val="single"/>
    </w:rPr>
  </w:style>
  <w:style w:type="paragraph" w:styleId="a4">
    <w:name w:val="footer"/>
    <w:basedOn w:val="a"/>
    <w:rsid w:val="008C387C"/>
    <w:pPr>
      <w:tabs>
        <w:tab w:val="center" w:pos="4153"/>
        <w:tab w:val="right" w:pos="8306"/>
      </w:tabs>
      <w:snapToGrid w:val="0"/>
      <w:jc w:val="left"/>
    </w:pPr>
    <w:rPr>
      <w:sz w:val="18"/>
      <w:szCs w:val="18"/>
    </w:rPr>
  </w:style>
  <w:style w:type="character" w:styleId="a5">
    <w:name w:val="page number"/>
    <w:basedOn w:val="a0"/>
    <w:rsid w:val="008C387C"/>
  </w:style>
  <w:style w:type="paragraph" w:styleId="a6">
    <w:name w:val="Body Text Indent"/>
    <w:aliases w:val="正文文字缩进"/>
    <w:basedOn w:val="a"/>
    <w:link w:val="Char"/>
    <w:rsid w:val="00F8459D"/>
    <w:pPr>
      <w:spacing w:after="120"/>
      <w:ind w:leftChars="200" w:left="200"/>
    </w:pPr>
    <w:rPr>
      <w:szCs w:val="20"/>
    </w:rPr>
  </w:style>
  <w:style w:type="character" w:customStyle="1" w:styleId="Char">
    <w:name w:val="正文文本缩进 Char"/>
    <w:aliases w:val="正文文字缩进 Char"/>
    <w:link w:val="a6"/>
    <w:rsid w:val="00F8459D"/>
    <w:rPr>
      <w:kern w:val="2"/>
      <w:sz w:val="21"/>
    </w:rPr>
  </w:style>
  <w:style w:type="paragraph" w:styleId="a7">
    <w:name w:val="List Paragraph"/>
    <w:basedOn w:val="a"/>
    <w:qFormat/>
    <w:rsid w:val="003A4A74"/>
    <w:pPr>
      <w:ind w:firstLineChars="200" w:firstLine="420"/>
    </w:pPr>
    <w:rPr>
      <w:rFonts w:ascii="Calibri" w:hAnsi="Calibri"/>
      <w:szCs w:val="22"/>
    </w:rPr>
  </w:style>
  <w:style w:type="paragraph" w:styleId="a8">
    <w:name w:val="Normal (Web)"/>
    <w:basedOn w:val="a"/>
    <w:uiPriority w:val="99"/>
    <w:unhideWhenUsed/>
    <w:rsid w:val="00712BB7"/>
    <w:pPr>
      <w:widowControl/>
      <w:spacing w:before="100" w:beforeAutospacing="1" w:after="100" w:afterAutospacing="1"/>
      <w:jc w:val="left"/>
    </w:pPr>
    <w:rPr>
      <w:rFonts w:ascii="宋体" w:hAnsi="宋体" w:cs="宋体"/>
      <w:kern w:val="0"/>
      <w:sz w:val="24"/>
    </w:rPr>
  </w:style>
  <w:style w:type="paragraph" w:styleId="a9">
    <w:name w:val="header"/>
    <w:basedOn w:val="a"/>
    <w:link w:val="Char0"/>
    <w:rsid w:val="007B650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9"/>
    <w:rsid w:val="007B6501"/>
    <w:rPr>
      <w:kern w:val="2"/>
      <w:sz w:val="18"/>
      <w:szCs w:val="18"/>
    </w:rPr>
  </w:style>
  <w:style w:type="table" w:styleId="aa">
    <w:name w:val="Table Grid"/>
    <w:basedOn w:val="a1"/>
    <w:rsid w:val="004E2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336492">
      <w:bodyDiv w:val="1"/>
      <w:marLeft w:val="0"/>
      <w:marRight w:val="0"/>
      <w:marTop w:val="0"/>
      <w:marBottom w:val="0"/>
      <w:divBdr>
        <w:top w:val="none" w:sz="0" w:space="0" w:color="auto"/>
        <w:left w:val="none" w:sz="0" w:space="0" w:color="auto"/>
        <w:bottom w:val="none" w:sz="0" w:space="0" w:color="auto"/>
        <w:right w:val="none" w:sz="0" w:space="0" w:color="auto"/>
      </w:divBdr>
    </w:div>
    <w:div w:id="94254355">
      <w:bodyDiv w:val="1"/>
      <w:marLeft w:val="0"/>
      <w:marRight w:val="0"/>
      <w:marTop w:val="0"/>
      <w:marBottom w:val="0"/>
      <w:divBdr>
        <w:top w:val="none" w:sz="0" w:space="0" w:color="auto"/>
        <w:left w:val="none" w:sz="0" w:space="0" w:color="auto"/>
        <w:bottom w:val="none" w:sz="0" w:space="0" w:color="auto"/>
        <w:right w:val="none" w:sz="0" w:space="0" w:color="auto"/>
      </w:divBdr>
    </w:div>
    <w:div w:id="439179956">
      <w:bodyDiv w:val="1"/>
      <w:marLeft w:val="0"/>
      <w:marRight w:val="0"/>
      <w:marTop w:val="0"/>
      <w:marBottom w:val="0"/>
      <w:divBdr>
        <w:top w:val="none" w:sz="0" w:space="0" w:color="auto"/>
        <w:left w:val="none" w:sz="0" w:space="0" w:color="auto"/>
        <w:bottom w:val="none" w:sz="0" w:space="0" w:color="auto"/>
        <w:right w:val="none" w:sz="0" w:space="0" w:color="auto"/>
      </w:divBdr>
    </w:div>
    <w:div w:id="510729334">
      <w:bodyDiv w:val="1"/>
      <w:marLeft w:val="0"/>
      <w:marRight w:val="0"/>
      <w:marTop w:val="0"/>
      <w:marBottom w:val="0"/>
      <w:divBdr>
        <w:top w:val="none" w:sz="0" w:space="0" w:color="auto"/>
        <w:left w:val="none" w:sz="0" w:space="0" w:color="auto"/>
        <w:bottom w:val="none" w:sz="0" w:space="0" w:color="auto"/>
        <w:right w:val="none" w:sz="0" w:space="0" w:color="auto"/>
      </w:divBdr>
    </w:div>
    <w:div w:id="541938446">
      <w:bodyDiv w:val="1"/>
      <w:marLeft w:val="0"/>
      <w:marRight w:val="0"/>
      <w:marTop w:val="0"/>
      <w:marBottom w:val="0"/>
      <w:divBdr>
        <w:top w:val="none" w:sz="0" w:space="0" w:color="auto"/>
        <w:left w:val="none" w:sz="0" w:space="0" w:color="auto"/>
        <w:bottom w:val="none" w:sz="0" w:space="0" w:color="auto"/>
        <w:right w:val="none" w:sz="0" w:space="0" w:color="auto"/>
      </w:divBdr>
    </w:div>
    <w:div w:id="858592401">
      <w:bodyDiv w:val="1"/>
      <w:marLeft w:val="0"/>
      <w:marRight w:val="0"/>
      <w:marTop w:val="0"/>
      <w:marBottom w:val="0"/>
      <w:divBdr>
        <w:top w:val="none" w:sz="0" w:space="0" w:color="auto"/>
        <w:left w:val="none" w:sz="0" w:space="0" w:color="auto"/>
        <w:bottom w:val="none" w:sz="0" w:space="0" w:color="auto"/>
        <w:right w:val="none" w:sz="0" w:space="0" w:color="auto"/>
      </w:divBdr>
    </w:div>
    <w:div w:id="951202920">
      <w:bodyDiv w:val="1"/>
      <w:marLeft w:val="0"/>
      <w:marRight w:val="0"/>
      <w:marTop w:val="0"/>
      <w:marBottom w:val="0"/>
      <w:divBdr>
        <w:top w:val="none" w:sz="0" w:space="0" w:color="auto"/>
        <w:left w:val="none" w:sz="0" w:space="0" w:color="auto"/>
        <w:bottom w:val="none" w:sz="0" w:space="0" w:color="auto"/>
        <w:right w:val="none" w:sz="0" w:space="0" w:color="auto"/>
      </w:divBdr>
    </w:div>
    <w:div w:id="1378552947">
      <w:bodyDiv w:val="1"/>
      <w:marLeft w:val="0"/>
      <w:marRight w:val="0"/>
      <w:marTop w:val="0"/>
      <w:marBottom w:val="0"/>
      <w:divBdr>
        <w:top w:val="none" w:sz="0" w:space="0" w:color="auto"/>
        <w:left w:val="none" w:sz="0" w:space="0" w:color="auto"/>
        <w:bottom w:val="none" w:sz="0" w:space="0" w:color="auto"/>
        <w:right w:val="none" w:sz="0" w:space="0" w:color="auto"/>
      </w:divBdr>
    </w:div>
    <w:div w:id="1426150241">
      <w:bodyDiv w:val="1"/>
      <w:marLeft w:val="0"/>
      <w:marRight w:val="0"/>
      <w:marTop w:val="0"/>
      <w:marBottom w:val="0"/>
      <w:divBdr>
        <w:top w:val="none" w:sz="0" w:space="0" w:color="auto"/>
        <w:left w:val="none" w:sz="0" w:space="0" w:color="auto"/>
        <w:bottom w:val="none" w:sz="0" w:space="0" w:color="auto"/>
        <w:right w:val="none" w:sz="0" w:space="0" w:color="auto"/>
      </w:divBdr>
    </w:div>
    <w:div w:id="1466852601">
      <w:bodyDiv w:val="1"/>
      <w:marLeft w:val="0"/>
      <w:marRight w:val="0"/>
      <w:marTop w:val="0"/>
      <w:marBottom w:val="0"/>
      <w:divBdr>
        <w:top w:val="none" w:sz="0" w:space="0" w:color="auto"/>
        <w:left w:val="none" w:sz="0" w:space="0" w:color="auto"/>
        <w:bottom w:val="none" w:sz="0" w:space="0" w:color="auto"/>
        <w:right w:val="none" w:sz="0" w:space="0" w:color="auto"/>
      </w:divBdr>
      <w:divsChild>
        <w:div w:id="2076006468">
          <w:marLeft w:val="0"/>
          <w:marRight w:val="0"/>
          <w:marTop w:val="0"/>
          <w:marBottom w:val="0"/>
          <w:divBdr>
            <w:top w:val="none" w:sz="0" w:space="0" w:color="auto"/>
            <w:left w:val="none" w:sz="0" w:space="0" w:color="auto"/>
            <w:bottom w:val="none" w:sz="0" w:space="0" w:color="auto"/>
            <w:right w:val="none" w:sz="0" w:space="0" w:color="auto"/>
          </w:divBdr>
        </w:div>
        <w:div w:id="2130391964">
          <w:marLeft w:val="0"/>
          <w:marRight w:val="0"/>
          <w:marTop w:val="0"/>
          <w:marBottom w:val="0"/>
          <w:divBdr>
            <w:top w:val="none" w:sz="0" w:space="0" w:color="auto"/>
            <w:left w:val="none" w:sz="0" w:space="0" w:color="auto"/>
            <w:bottom w:val="none" w:sz="0" w:space="0" w:color="auto"/>
            <w:right w:val="none" w:sz="0" w:space="0" w:color="auto"/>
          </w:divBdr>
        </w:div>
      </w:divsChild>
    </w:div>
    <w:div w:id="1561860832">
      <w:bodyDiv w:val="1"/>
      <w:marLeft w:val="0"/>
      <w:marRight w:val="0"/>
      <w:marTop w:val="0"/>
      <w:marBottom w:val="0"/>
      <w:divBdr>
        <w:top w:val="none" w:sz="0" w:space="0" w:color="auto"/>
        <w:left w:val="none" w:sz="0" w:space="0" w:color="auto"/>
        <w:bottom w:val="none" w:sz="0" w:space="0" w:color="auto"/>
        <w:right w:val="none" w:sz="0" w:space="0" w:color="auto"/>
      </w:divBdr>
    </w:div>
    <w:div w:id="1845783606">
      <w:bodyDiv w:val="1"/>
      <w:marLeft w:val="0"/>
      <w:marRight w:val="0"/>
      <w:marTop w:val="0"/>
      <w:marBottom w:val="0"/>
      <w:divBdr>
        <w:top w:val="none" w:sz="0" w:space="0" w:color="auto"/>
        <w:left w:val="none" w:sz="0" w:space="0" w:color="auto"/>
        <w:bottom w:val="none" w:sz="0" w:space="0" w:color="auto"/>
        <w:right w:val="none" w:sz="0" w:space="0" w:color="auto"/>
      </w:divBdr>
    </w:div>
    <w:div w:id="2041540615">
      <w:bodyDiv w:val="1"/>
      <w:marLeft w:val="0"/>
      <w:marRight w:val="0"/>
      <w:marTop w:val="0"/>
      <w:marBottom w:val="0"/>
      <w:divBdr>
        <w:top w:val="none" w:sz="0" w:space="0" w:color="auto"/>
        <w:left w:val="none" w:sz="0" w:space="0" w:color="auto"/>
        <w:bottom w:val="none" w:sz="0" w:space="0" w:color="auto"/>
        <w:right w:val="none" w:sz="0" w:space="0" w:color="auto"/>
      </w:divBdr>
    </w:div>
    <w:div w:id="20627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4</Pages>
  <Words>334</Words>
  <Characters>1906</Characters>
  <Application>Microsoft Office Word</Application>
  <DocSecurity>0</DocSecurity>
  <Lines>15</Lines>
  <Paragraphs>4</Paragraphs>
  <ScaleCrop>false</ScaleCrop>
  <Company>SSI</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上市公司业务办理指南第12号——董监高《声明及承诺书》报备</dc:title>
  <dc:creator>Billy</dc:creator>
  <cp:lastModifiedBy>123</cp:lastModifiedBy>
  <cp:revision>14</cp:revision>
  <cp:lastPrinted>2017-01-13T04:08:00Z</cp:lastPrinted>
  <dcterms:created xsi:type="dcterms:W3CDTF">2017-01-13T01:11:00Z</dcterms:created>
  <dcterms:modified xsi:type="dcterms:W3CDTF">2017-01-13T07:27:00Z</dcterms:modified>
</cp:coreProperties>
</file>