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9B" w:rsidRDefault="00650FED" w:rsidP="003C1A75">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1E7F9B" w:rsidRDefault="00650FED" w:rsidP="003C1A75">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1E7F9B" w:rsidRDefault="00650FED" w:rsidP="003C1A75">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1E7F9B" w:rsidRDefault="00650FED">
      <w:pPr>
        <w:spacing w:line="400" w:lineRule="exact"/>
        <w:rPr>
          <w:rFonts w:ascii="宋体"/>
          <w:sz w:val="24"/>
          <w:szCs w:val="24"/>
        </w:rPr>
      </w:pPr>
      <w:r>
        <w:rPr>
          <w:rFonts w:ascii="宋体" w:hAnsi="宋体" w:cs="宋体" w:hint="eastAsia"/>
          <w:sz w:val="24"/>
          <w:szCs w:val="24"/>
        </w:rPr>
        <w:t>编号：</w:t>
      </w:r>
      <w:r>
        <w:rPr>
          <w:rFonts w:ascii="宋体" w:hAnsi="宋体" w:cs="宋体"/>
          <w:sz w:val="24"/>
          <w:szCs w:val="24"/>
        </w:rPr>
        <w:t>201</w:t>
      </w:r>
      <w:r>
        <w:rPr>
          <w:rFonts w:ascii="宋体" w:hAnsi="宋体" w:cs="宋体" w:hint="eastAsia"/>
          <w:sz w:val="24"/>
          <w:szCs w:val="24"/>
        </w:rPr>
        <w:t>7</w:t>
      </w:r>
      <w:r>
        <w:rPr>
          <w:rFonts w:ascii="宋体" w:hAnsi="宋体" w:cs="宋体"/>
          <w:sz w:val="24"/>
          <w:szCs w:val="24"/>
        </w:rPr>
        <w:t>-00</w:t>
      </w:r>
      <w:r>
        <w:rPr>
          <w:rFonts w:ascii="宋体" w:hAnsi="宋体" w:cs="宋体" w:hint="eastAsia"/>
          <w:sz w:val="24"/>
          <w:szCs w:val="24"/>
        </w:rPr>
        <w:t>4</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1E7F9B">
        <w:trPr>
          <w:jc w:val="center"/>
        </w:trPr>
        <w:tc>
          <w:tcPr>
            <w:tcW w:w="1915" w:type="dxa"/>
          </w:tcPr>
          <w:p w:rsidR="001E7F9B" w:rsidRDefault="00650FED">
            <w:pPr>
              <w:spacing w:line="480" w:lineRule="atLeast"/>
              <w:rPr>
                <w:rFonts w:ascii="宋体"/>
                <w:b/>
                <w:bCs/>
                <w:sz w:val="24"/>
                <w:szCs w:val="24"/>
              </w:rPr>
            </w:pPr>
            <w:r>
              <w:rPr>
                <w:rFonts w:ascii="宋体" w:hAnsi="宋体" w:cs="宋体" w:hint="eastAsia"/>
                <w:b/>
                <w:bCs/>
                <w:sz w:val="24"/>
                <w:szCs w:val="24"/>
              </w:rPr>
              <w:t>投资者关系活动类别</w:t>
            </w:r>
          </w:p>
          <w:p w:rsidR="001E7F9B" w:rsidRDefault="001E7F9B">
            <w:pPr>
              <w:spacing w:line="480" w:lineRule="atLeast"/>
              <w:rPr>
                <w:rFonts w:ascii="宋体"/>
                <w:b/>
                <w:bCs/>
                <w:sz w:val="24"/>
                <w:szCs w:val="24"/>
              </w:rPr>
            </w:pPr>
          </w:p>
        </w:tc>
        <w:tc>
          <w:tcPr>
            <w:tcW w:w="6946" w:type="dxa"/>
          </w:tcPr>
          <w:p w:rsidR="001E7F9B" w:rsidRDefault="00650FED">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1E7F9B" w:rsidRDefault="00650FED">
            <w:pPr>
              <w:spacing w:line="480" w:lineRule="atLeast"/>
              <w:rPr>
                <w:rFonts w:ascii="宋体"/>
                <w:sz w:val="24"/>
                <w:szCs w:val="24"/>
              </w:rPr>
            </w:pPr>
            <w:r>
              <w:rPr>
                <w:rFonts w:ascii="宋体" w:hAnsi="宋体" w:cs="宋体" w:hint="eastAsia"/>
                <w:sz w:val="24"/>
                <w:szCs w:val="24"/>
              </w:rPr>
              <w:t>□媒体采访□业绩说明会</w:t>
            </w:r>
          </w:p>
          <w:p w:rsidR="001E7F9B" w:rsidRDefault="00650FED">
            <w:pPr>
              <w:spacing w:line="480" w:lineRule="atLeast"/>
              <w:rPr>
                <w:rFonts w:ascii="宋体"/>
                <w:sz w:val="24"/>
                <w:szCs w:val="24"/>
              </w:rPr>
            </w:pPr>
            <w:r>
              <w:rPr>
                <w:rFonts w:ascii="宋体" w:hAnsi="宋体" w:cs="宋体" w:hint="eastAsia"/>
                <w:sz w:val="24"/>
                <w:szCs w:val="24"/>
              </w:rPr>
              <w:t>□新闻发布会□路演活动</w:t>
            </w:r>
          </w:p>
          <w:p w:rsidR="001E7F9B" w:rsidRDefault="00650FED">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1E7F9B" w:rsidRDefault="00650FED">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1E7F9B">
        <w:trPr>
          <w:jc w:val="center"/>
        </w:trPr>
        <w:tc>
          <w:tcPr>
            <w:tcW w:w="1915" w:type="dxa"/>
          </w:tcPr>
          <w:p w:rsidR="001E7F9B" w:rsidRDefault="00650FED">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1E7F9B" w:rsidRDefault="00650FED">
            <w:pPr>
              <w:spacing w:line="480" w:lineRule="atLeast"/>
              <w:jc w:val="left"/>
              <w:rPr>
                <w:rFonts w:ascii="宋体"/>
                <w:sz w:val="24"/>
                <w:szCs w:val="24"/>
              </w:rPr>
            </w:pPr>
            <w:r>
              <w:rPr>
                <w:rFonts w:ascii="宋体" w:hint="eastAsia"/>
                <w:sz w:val="24"/>
                <w:szCs w:val="24"/>
              </w:rPr>
              <w:t>华安证券</w:t>
            </w:r>
            <w:r>
              <w:rPr>
                <w:rFonts w:ascii="宋体" w:hint="eastAsia"/>
                <w:sz w:val="24"/>
                <w:szCs w:val="24"/>
              </w:rPr>
              <w:t xml:space="preserve">  </w:t>
            </w:r>
            <w:r>
              <w:rPr>
                <w:rFonts w:ascii="宋体" w:hint="eastAsia"/>
                <w:sz w:val="24"/>
                <w:szCs w:val="24"/>
              </w:rPr>
              <w:t>蒋园园</w:t>
            </w:r>
          </w:p>
          <w:p w:rsidR="003C1A75" w:rsidRDefault="003C1A75">
            <w:pPr>
              <w:spacing w:line="480" w:lineRule="atLeast"/>
              <w:jc w:val="left"/>
              <w:rPr>
                <w:rFonts w:ascii="宋体" w:hint="eastAsia"/>
                <w:sz w:val="24"/>
                <w:szCs w:val="24"/>
              </w:rPr>
            </w:pPr>
            <w:r>
              <w:rPr>
                <w:rFonts w:ascii="宋体" w:hint="eastAsia"/>
                <w:sz w:val="24"/>
                <w:szCs w:val="24"/>
              </w:rPr>
              <w:t>国元证券  李朝松</w:t>
            </w:r>
          </w:p>
          <w:p w:rsidR="003C1A75" w:rsidRDefault="003C1A75">
            <w:pPr>
              <w:spacing w:line="480" w:lineRule="atLeast"/>
              <w:jc w:val="left"/>
              <w:rPr>
                <w:rFonts w:ascii="宋体" w:hint="eastAsia"/>
                <w:sz w:val="24"/>
                <w:szCs w:val="24"/>
              </w:rPr>
            </w:pPr>
            <w:r>
              <w:rPr>
                <w:rFonts w:ascii="宋体" w:hint="eastAsia"/>
                <w:sz w:val="24"/>
                <w:szCs w:val="24"/>
              </w:rPr>
              <w:t>天津第四空间股权投资基金   康敬国</w:t>
            </w:r>
          </w:p>
          <w:p w:rsidR="001E7F9B" w:rsidRDefault="00650FED">
            <w:pPr>
              <w:spacing w:line="480" w:lineRule="atLeast"/>
              <w:jc w:val="left"/>
              <w:rPr>
                <w:rFonts w:ascii="宋体"/>
                <w:sz w:val="24"/>
                <w:szCs w:val="24"/>
              </w:rPr>
            </w:pPr>
            <w:r>
              <w:rPr>
                <w:rFonts w:ascii="宋体" w:hint="eastAsia"/>
                <w:sz w:val="24"/>
                <w:szCs w:val="24"/>
              </w:rPr>
              <w:t>东北证券</w:t>
            </w:r>
            <w:r>
              <w:rPr>
                <w:rFonts w:ascii="宋体" w:hint="eastAsia"/>
                <w:sz w:val="24"/>
                <w:szCs w:val="24"/>
              </w:rPr>
              <w:t xml:space="preserve">  </w:t>
            </w:r>
            <w:r>
              <w:rPr>
                <w:rFonts w:ascii="宋体" w:hint="eastAsia"/>
                <w:sz w:val="24"/>
                <w:szCs w:val="24"/>
              </w:rPr>
              <w:t>李楠竹</w:t>
            </w:r>
          </w:p>
          <w:p w:rsidR="003C1A75" w:rsidRDefault="003C1A75">
            <w:pPr>
              <w:spacing w:line="480" w:lineRule="atLeast"/>
              <w:jc w:val="left"/>
              <w:rPr>
                <w:rFonts w:ascii="宋体" w:hint="eastAsia"/>
                <w:sz w:val="24"/>
                <w:szCs w:val="24"/>
              </w:rPr>
            </w:pPr>
            <w:r>
              <w:rPr>
                <w:rFonts w:ascii="宋体" w:hint="eastAsia"/>
                <w:sz w:val="24"/>
                <w:szCs w:val="24"/>
              </w:rPr>
              <w:t>国联证券  吴程浩</w:t>
            </w:r>
          </w:p>
          <w:p w:rsidR="001E7F9B" w:rsidRDefault="00650FED">
            <w:pPr>
              <w:spacing w:line="480" w:lineRule="atLeast"/>
              <w:jc w:val="left"/>
              <w:rPr>
                <w:rFonts w:ascii="宋体"/>
                <w:sz w:val="24"/>
                <w:szCs w:val="24"/>
              </w:rPr>
            </w:pPr>
            <w:r>
              <w:rPr>
                <w:rFonts w:ascii="宋体" w:hint="eastAsia"/>
                <w:sz w:val="24"/>
                <w:szCs w:val="24"/>
              </w:rPr>
              <w:t>太平洋证券</w:t>
            </w:r>
            <w:r>
              <w:rPr>
                <w:rFonts w:ascii="宋体" w:hint="eastAsia"/>
                <w:sz w:val="24"/>
                <w:szCs w:val="24"/>
              </w:rPr>
              <w:t xml:space="preserve"> </w:t>
            </w:r>
            <w:r>
              <w:rPr>
                <w:rFonts w:ascii="宋体" w:hint="eastAsia"/>
                <w:sz w:val="24"/>
                <w:szCs w:val="24"/>
              </w:rPr>
              <w:t>马浩然</w:t>
            </w:r>
          </w:p>
        </w:tc>
      </w:tr>
      <w:tr w:rsidR="001E7F9B">
        <w:trPr>
          <w:jc w:val="center"/>
        </w:trPr>
        <w:tc>
          <w:tcPr>
            <w:tcW w:w="1915" w:type="dxa"/>
          </w:tcPr>
          <w:p w:rsidR="001E7F9B" w:rsidRDefault="00650FED">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1E7F9B" w:rsidRDefault="00650FED">
            <w:pPr>
              <w:spacing w:line="480" w:lineRule="atLeast"/>
              <w:jc w:val="center"/>
              <w:rPr>
                <w:rFonts w:ascii="宋体"/>
                <w:sz w:val="24"/>
                <w:szCs w:val="24"/>
              </w:rPr>
            </w:pPr>
            <w:r>
              <w:rPr>
                <w:rFonts w:ascii="宋体" w:hAnsi="宋体" w:cs="宋体"/>
                <w:sz w:val="24"/>
                <w:szCs w:val="24"/>
              </w:rPr>
              <w:t>201</w:t>
            </w:r>
            <w:r>
              <w:rPr>
                <w:rFonts w:ascii="宋体" w:hAnsi="宋体" w:cs="宋体" w:hint="eastAsia"/>
                <w:sz w:val="24"/>
                <w:szCs w:val="24"/>
              </w:rPr>
              <w:t>7</w:t>
            </w:r>
            <w:r>
              <w:rPr>
                <w:rFonts w:ascii="宋体" w:hAnsi="宋体" w:cs="宋体" w:hint="eastAsia"/>
                <w:sz w:val="24"/>
                <w:szCs w:val="24"/>
              </w:rPr>
              <w:t>年</w:t>
            </w:r>
            <w:r>
              <w:rPr>
                <w:rFonts w:ascii="宋体" w:hAnsi="宋体" w:cs="宋体" w:hint="eastAsia"/>
                <w:sz w:val="24"/>
                <w:szCs w:val="24"/>
              </w:rPr>
              <w:t>2</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4</w:t>
            </w:r>
            <w:r>
              <w:rPr>
                <w:rFonts w:ascii="宋体" w:hAnsi="宋体" w:cs="宋体" w:hint="eastAsia"/>
                <w:sz w:val="24"/>
                <w:szCs w:val="24"/>
              </w:rPr>
              <w:t>日</w:t>
            </w:r>
          </w:p>
        </w:tc>
      </w:tr>
      <w:tr w:rsidR="001E7F9B">
        <w:trPr>
          <w:jc w:val="center"/>
        </w:trPr>
        <w:tc>
          <w:tcPr>
            <w:tcW w:w="1915" w:type="dxa"/>
          </w:tcPr>
          <w:p w:rsidR="001E7F9B" w:rsidRDefault="00650FED">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1E7F9B" w:rsidRDefault="00650FED">
            <w:pPr>
              <w:spacing w:line="480" w:lineRule="atLeast"/>
              <w:jc w:val="center"/>
              <w:rPr>
                <w:rFonts w:ascii="宋体"/>
                <w:sz w:val="24"/>
                <w:szCs w:val="24"/>
              </w:rPr>
            </w:pPr>
            <w:r>
              <w:rPr>
                <w:rFonts w:ascii="宋体" w:hAnsi="宋体" w:cs="宋体" w:hint="eastAsia"/>
                <w:sz w:val="24"/>
                <w:szCs w:val="24"/>
              </w:rPr>
              <w:t>公司会议室</w:t>
            </w:r>
          </w:p>
        </w:tc>
      </w:tr>
      <w:tr w:rsidR="001E7F9B">
        <w:trPr>
          <w:jc w:val="center"/>
        </w:trPr>
        <w:tc>
          <w:tcPr>
            <w:tcW w:w="1915" w:type="dxa"/>
          </w:tcPr>
          <w:p w:rsidR="001E7F9B" w:rsidRDefault="00650FED">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1E7F9B" w:rsidRDefault="00650FED">
            <w:pPr>
              <w:spacing w:line="480" w:lineRule="atLeast"/>
              <w:jc w:val="left"/>
              <w:rPr>
                <w:rFonts w:ascii="宋体" w:hAnsi="宋体" w:cs="宋体"/>
                <w:sz w:val="24"/>
                <w:szCs w:val="24"/>
              </w:rPr>
            </w:pPr>
            <w:r>
              <w:rPr>
                <w:rFonts w:ascii="宋体" w:hAnsi="宋体" w:cs="宋体" w:hint="eastAsia"/>
                <w:sz w:val="24"/>
                <w:szCs w:val="24"/>
              </w:rPr>
              <w:t>证代</w:t>
            </w:r>
            <w:r>
              <w:rPr>
                <w:rFonts w:ascii="宋体" w:hAnsi="宋体" w:cs="宋体" w:hint="eastAsia"/>
                <w:sz w:val="24"/>
                <w:szCs w:val="24"/>
              </w:rPr>
              <w:t xml:space="preserve">   </w:t>
            </w:r>
            <w:r>
              <w:rPr>
                <w:rFonts w:ascii="宋体" w:hAnsi="宋体" w:cs="宋体" w:hint="eastAsia"/>
                <w:sz w:val="24"/>
                <w:szCs w:val="24"/>
              </w:rPr>
              <w:t>武振生</w:t>
            </w:r>
          </w:p>
        </w:tc>
      </w:tr>
      <w:tr w:rsidR="001E7F9B">
        <w:trPr>
          <w:trHeight w:val="553"/>
          <w:jc w:val="center"/>
        </w:trPr>
        <w:tc>
          <w:tcPr>
            <w:tcW w:w="1915" w:type="dxa"/>
            <w:vAlign w:val="center"/>
          </w:tcPr>
          <w:p w:rsidR="001E7F9B" w:rsidRDefault="00650FED">
            <w:pPr>
              <w:spacing w:line="480" w:lineRule="atLeast"/>
              <w:rPr>
                <w:rFonts w:ascii="宋体"/>
                <w:b/>
                <w:bCs/>
                <w:sz w:val="24"/>
                <w:szCs w:val="24"/>
              </w:rPr>
            </w:pPr>
            <w:r>
              <w:rPr>
                <w:rFonts w:ascii="宋体" w:hAnsi="宋体" w:cs="宋体" w:hint="eastAsia"/>
                <w:b/>
                <w:bCs/>
                <w:sz w:val="24"/>
                <w:szCs w:val="24"/>
              </w:rPr>
              <w:t>投资者关系活动主要内容介绍</w:t>
            </w:r>
          </w:p>
          <w:p w:rsidR="001E7F9B" w:rsidRDefault="001E7F9B">
            <w:pPr>
              <w:spacing w:line="480" w:lineRule="atLeast"/>
              <w:rPr>
                <w:rFonts w:ascii="宋体"/>
                <w:b/>
                <w:bCs/>
                <w:sz w:val="24"/>
                <w:szCs w:val="24"/>
              </w:rPr>
            </w:pPr>
          </w:p>
        </w:tc>
        <w:tc>
          <w:tcPr>
            <w:tcW w:w="6946" w:type="dxa"/>
          </w:tcPr>
          <w:p w:rsidR="001E7F9B" w:rsidRDefault="00650FED" w:rsidP="003C1A75">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1E7F9B" w:rsidRDefault="00650FED" w:rsidP="003C1A75">
            <w:pPr>
              <w:spacing w:beforeLines="50" w:afterLines="50" w:line="360" w:lineRule="auto"/>
              <w:rPr>
                <w:sz w:val="24"/>
                <w:szCs w:val="24"/>
              </w:rPr>
            </w:pPr>
            <w:r>
              <w:rPr>
                <w:rFonts w:cs="宋体" w:hint="eastAsia"/>
                <w:sz w:val="24"/>
                <w:szCs w:val="24"/>
              </w:rPr>
              <w:t>一、公司化工新材料产品、行业及应用</w:t>
            </w:r>
            <w:r>
              <w:rPr>
                <w:rFonts w:cs="宋体" w:hint="eastAsia"/>
                <w:sz w:val="24"/>
                <w:szCs w:val="24"/>
              </w:rPr>
              <w:t>情况？</w:t>
            </w:r>
          </w:p>
          <w:p w:rsidR="001E7F9B" w:rsidRDefault="00650FED" w:rsidP="003C1A75">
            <w:pPr>
              <w:spacing w:beforeLines="50" w:afterLines="50" w:line="360" w:lineRule="auto"/>
              <w:ind w:firstLine="480"/>
              <w:rPr>
                <w:rFonts w:cs="宋体"/>
                <w:sz w:val="24"/>
                <w:szCs w:val="24"/>
              </w:rPr>
            </w:pPr>
            <w:r>
              <w:rPr>
                <w:rFonts w:cs="宋体" w:hint="eastAsia"/>
                <w:sz w:val="24"/>
                <w:szCs w:val="24"/>
              </w:rPr>
              <w:t>公司化工新材料产品聚酯树脂主要分为户外型和混合型，户外型主要应用在室外金属器材，包括家电、建材、汽车、农机、工程机械、高速护栏等领域，具有抗腐蚀、耐老化等优越性能，混合型主要应用在户内金属表面，包括家电、电子产品等领域，具备流平性好、装饰性能优越等优点。公司主要客户为阿克苏</w:t>
            </w:r>
            <w:r>
              <w:rPr>
                <w:rFonts w:ascii="宋体" w:hAnsi="宋体" w:cs="宋体" w:hint="eastAsia"/>
                <w:sz w:val="24"/>
                <w:szCs w:val="24"/>
              </w:rPr>
              <w:t>•</w:t>
            </w:r>
            <w:r>
              <w:rPr>
                <w:rFonts w:cs="宋体" w:hint="eastAsia"/>
                <w:sz w:val="24"/>
                <w:szCs w:val="24"/>
              </w:rPr>
              <w:lastRenderedPageBreak/>
              <w:t>诺贝尔、艾仕德、</w:t>
            </w:r>
            <w:r>
              <w:rPr>
                <w:rFonts w:cs="宋体" w:hint="eastAsia"/>
                <w:sz w:val="24"/>
                <w:szCs w:val="24"/>
              </w:rPr>
              <w:t>PPG</w:t>
            </w:r>
            <w:r>
              <w:rPr>
                <w:rFonts w:cs="宋体" w:hint="eastAsia"/>
                <w:sz w:val="24"/>
                <w:szCs w:val="24"/>
              </w:rPr>
              <w:t>、佐敦涂料及海尔、格力等国内外知名粉末涂料企业。</w:t>
            </w:r>
          </w:p>
          <w:p w:rsidR="001E7F9B" w:rsidRDefault="00650FED">
            <w:pPr>
              <w:spacing w:line="480" w:lineRule="atLeast"/>
              <w:rPr>
                <w:rFonts w:ascii="宋体" w:hAnsi="宋体" w:cs="宋体"/>
                <w:kern w:val="0"/>
                <w:sz w:val="24"/>
                <w:szCs w:val="24"/>
              </w:rPr>
            </w:pPr>
            <w:r>
              <w:rPr>
                <w:rFonts w:cs="宋体" w:hint="eastAsia"/>
                <w:sz w:val="24"/>
                <w:szCs w:val="24"/>
              </w:rPr>
              <w:t>二</w:t>
            </w:r>
            <w:r>
              <w:rPr>
                <w:rFonts w:cs="宋体" w:hint="eastAsia"/>
                <w:sz w:val="24"/>
                <w:szCs w:val="24"/>
              </w:rPr>
              <w:t>、</w:t>
            </w:r>
            <w:r>
              <w:rPr>
                <w:rFonts w:ascii="宋体" w:hAnsi="宋体" w:cs="宋体" w:hint="eastAsia"/>
                <w:kern w:val="0"/>
                <w:sz w:val="24"/>
                <w:szCs w:val="24"/>
              </w:rPr>
              <w:t>公司刚披露的与中星伟业达成收购意向的进展情况？</w:t>
            </w:r>
          </w:p>
          <w:p w:rsidR="001E7F9B" w:rsidRDefault="00650FED">
            <w:pPr>
              <w:spacing w:line="480" w:lineRule="atLeast"/>
              <w:rPr>
                <w:rFonts w:ascii="宋体" w:hAnsi="宋体" w:cs="宋体"/>
                <w:kern w:val="0"/>
                <w:sz w:val="24"/>
                <w:szCs w:val="24"/>
              </w:rPr>
            </w:pPr>
            <w:r>
              <w:rPr>
                <w:rFonts w:ascii="宋体" w:hAnsi="宋体" w:cs="宋体" w:hint="eastAsia"/>
                <w:kern w:val="0"/>
                <w:sz w:val="24"/>
                <w:szCs w:val="24"/>
              </w:rPr>
              <w:t xml:space="preserve">    1</w:t>
            </w:r>
            <w:r>
              <w:rPr>
                <w:rFonts w:ascii="宋体" w:hAnsi="宋体" w:cs="宋体" w:hint="eastAsia"/>
                <w:kern w:val="0"/>
                <w:sz w:val="24"/>
                <w:szCs w:val="24"/>
              </w:rPr>
              <w:t>月</w:t>
            </w:r>
            <w:r>
              <w:rPr>
                <w:rFonts w:ascii="宋体" w:hAnsi="宋体" w:cs="宋体" w:hint="eastAsia"/>
                <w:kern w:val="0"/>
                <w:sz w:val="24"/>
                <w:szCs w:val="24"/>
              </w:rPr>
              <w:t>5</w:t>
            </w:r>
            <w:r>
              <w:rPr>
                <w:rFonts w:ascii="宋体" w:hAnsi="宋体" w:cs="宋体" w:hint="eastAsia"/>
                <w:kern w:val="0"/>
                <w:sz w:val="24"/>
                <w:szCs w:val="24"/>
              </w:rPr>
              <w:t>日，公司披露了由公司全资子公司西安嘉业收购西安中星伟业</w:t>
            </w:r>
            <w:r>
              <w:rPr>
                <w:rFonts w:ascii="宋体" w:hAnsi="宋体" w:cs="宋体" w:hint="eastAsia"/>
                <w:kern w:val="0"/>
                <w:sz w:val="24"/>
                <w:szCs w:val="24"/>
              </w:rPr>
              <w:t>60%</w:t>
            </w:r>
            <w:r>
              <w:rPr>
                <w:rFonts w:ascii="宋体" w:hAnsi="宋体" w:cs="宋体" w:hint="eastAsia"/>
                <w:kern w:val="0"/>
                <w:sz w:val="24"/>
                <w:szCs w:val="24"/>
              </w:rPr>
              <w:t>股权意向协议。</w:t>
            </w:r>
          </w:p>
          <w:p w:rsidR="001E7F9B" w:rsidRDefault="00650FED">
            <w:pPr>
              <w:spacing w:line="360" w:lineRule="auto"/>
              <w:ind w:firstLineChars="200" w:firstLine="480"/>
              <w:rPr>
                <w:sz w:val="24"/>
              </w:rPr>
            </w:pPr>
            <w:r>
              <w:rPr>
                <w:rFonts w:hint="eastAsia"/>
                <w:sz w:val="24"/>
              </w:rPr>
              <w:t>中星伟业具备武器装备科</w:t>
            </w:r>
            <w:r>
              <w:rPr>
                <w:rFonts w:hint="eastAsia"/>
                <w:sz w:val="24"/>
              </w:rPr>
              <w:t>研生产许可证、二级保密资质、装备承制单位许可证、武器装备质量体系认证、高新技术企业等资质，公司技术创新能力强，北斗系列产品在所处行业中具有较强的竞争优势。</w:t>
            </w:r>
          </w:p>
          <w:p w:rsidR="001E7F9B" w:rsidRDefault="00650FED">
            <w:pPr>
              <w:spacing w:line="360" w:lineRule="auto"/>
              <w:ind w:firstLineChars="200" w:firstLine="480"/>
              <w:rPr>
                <w:sz w:val="24"/>
              </w:rPr>
            </w:pPr>
            <w:r>
              <w:rPr>
                <w:rFonts w:hint="eastAsia"/>
                <w:sz w:val="24"/>
              </w:rPr>
              <w:t>西安嘉业公司目前主要业务包括航空、航天及轨道交通高端装备制造领域，而中星伟业主要业务在海上、海下北斗业务处于较强的竞争优势，未来发展空间广阔，公司业务资质及经营范围都是西安嘉业公司在未来业务拓展方面的补充和加强。</w:t>
            </w:r>
          </w:p>
          <w:p w:rsidR="001E7F9B" w:rsidRDefault="00650FED">
            <w:pPr>
              <w:spacing w:line="480" w:lineRule="atLeast"/>
              <w:rPr>
                <w:rFonts w:ascii="宋体"/>
                <w:kern w:val="0"/>
                <w:sz w:val="24"/>
                <w:szCs w:val="24"/>
                <w:lang w:val="zh-CN"/>
              </w:rPr>
            </w:pPr>
            <w:r>
              <w:rPr>
                <w:rFonts w:ascii="宋体" w:hAnsi="宋体" w:cs="宋体" w:hint="eastAsia"/>
                <w:sz w:val="24"/>
                <w:szCs w:val="24"/>
              </w:rPr>
              <w:t>三、</w:t>
            </w:r>
            <w:r>
              <w:rPr>
                <w:rFonts w:ascii="宋体" w:hAnsi="宋体" w:cs="宋体" w:hint="eastAsia"/>
                <w:sz w:val="24"/>
                <w:szCs w:val="24"/>
              </w:rPr>
              <w:t>关于</w:t>
            </w:r>
            <w:r>
              <w:rPr>
                <w:rFonts w:ascii="宋体" w:hAnsi="宋体" w:cs="宋体" w:hint="eastAsia"/>
                <w:sz w:val="24"/>
                <w:szCs w:val="24"/>
              </w:rPr>
              <w:t>西安嘉业</w:t>
            </w:r>
            <w:r>
              <w:rPr>
                <w:rFonts w:ascii="宋体" w:hAnsi="宋体" w:cs="宋体" w:hint="eastAsia"/>
                <w:sz w:val="24"/>
                <w:szCs w:val="24"/>
              </w:rPr>
              <w:t>公司</w:t>
            </w:r>
            <w:r>
              <w:rPr>
                <w:rFonts w:ascii="宋体" w:hAnsi="宋体" w:cs="宋体"/>
                <w:sz w:val="24"/>
                <w:szCs w:val="24"/>
              </w:rPr>
              <w:t>201</w:t>
            </w:r>
            <w:r>
              <w:rPr>
                <w:rFonts w:ascii="宋体" w:hAnsi="宋体" w:cs="宋体" w:hint="eastAsia"/>
                <w:sz w:val="24"/>
                <w:szCs w:val="24"/>
              </w:rPr>
              <w:t>6</w:t>
            </w:r>
            <w:r>
              <w:rPr>
                <w:rFonts w:ascii="宋体" w:hAnsi="宋体" w:cs="宋体" w:hint="eastAsia"/>
                <w:sz w:val="24"/>
                <w:szCs w:val="24"/>
              </w:rPr>
              <w:t>年度业绩情况及承诺期内业绩完成有无压力，是否能超预期完成，能超额多少？</w:t>
            </w:r>
          </w:p>
          <w:p w:rsidR="001E7F9B" w:rsidRDefault="00650FED">
            <w:pPr>
              <w:spacing w:line="480" w:lineRule="atLeast"/>
              <w:ind w:firstLineChars="200" w:firstLine="480"/>
              <w:rPr>
                <w:rFonts w:ascii="宋体" w:hAnsi="宋体" w:cs="宋体"/>
                <w:kern w:val="0"/>
                <w:sz w:val="24"/>
                <w:szCs w:val="24"/>
              </w:rPr>
            </w:pP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西安嘉业</w:t>
            </w:r>
            <w:r>
              <w:rPr>
                <w:rFonts w:ascii="宋体" w:hAnsi="宋体" w:cs="宋体" w:hint="eastAsia"/>
                <w:sz w:val="24"/>
                <w:szCs w:val="24"/>
              </w:rPr>
              <w:t>公司</w:t>
            </w:r>
            <w:r>
              <w:rPr>
                <w:rFonts w:ascii="宋体" w:hAnsi="宋体" w:cs="宋体" w:hint="eastAsia"/>
                <w:kern w:val="0"/>
                <w:sz w:val="24"/>
                <w:szCs w:val="24"/>
                <w:lang w:val="zh-CN"/>
              </w:rPr>
              <w:t>实现营业收入</w:t>
            </w:r>
            <w:r>
              <w:rPr>
                <w:rFonts w:ascii="宋体" w:hAnsi="宋体" w:cs="宋体"/>
                <w:kern w:val="0"/>
                <w:sz w:val="24"/>
                <w:szCs w:val="24"/>
                <w:lang w:val="zh-CN"/>
              </w:rPr>
              <w:t>1</w:t>
            </w:r>
            <w:r>
              <w:rPr>
                <w:rFonts w:ascii="宋体" w:hAnsi="宋体" w:cs="宋体" w:hint="eastAsia"/>
                <w:kern w:val="0"/>
                <w:sz w:val="24"/>
                <w:szCs w:val="24"/>
              </w:rPr>
              <w:t>.5855</w:t>
            </w:r>
            <w:r>
              <w:rPr>
                <w:rFonts w:ascii="宋体" w:hAnsi="宋体" w:cs="宋体" w:hint="eastAsia"/>
                <w:kern w:val="0"/>
                <w:sz w:val="24"/>
                <w:szCs w:val="24"/>
                <w:lang w:val="zh-CN"/>
              </w:rPr>
              <w:t>亿元，净利润</w:t>
            </w:r>
            <w:r>
              <w:rPr>
                <w:rFonts w:ascii="宋体" w:hAnsi="宋体" w:cs="宋体" w:hint="eastAsia"/>
                <w:kern w:val="0"/>
                <w:sz w:val="24"/>
                <w:szCs w:val="24"/>
              </w:rPr>
              <w:t>3430.8</w:t>
            </w:r>
            <w:r>
              <w:rPr>
                <w:rFonts w:ascii="宋体" w:hAnsi="宋体" w:cs="宋体" w:hint="eastAsia"/>
                <w:kern w:val="0"/>
                <w:sz w:val="24"/>
                <w:szCs w:val="24"/>
              </w:rPr>
              <w:t>万</w:t>
            </w:r>
            <w:r>
              <w:rPr>
                <w:rFonts w:ascii="宋体" w:hAnsi="宋体" w:cs="宋体" w:hint="eastAsia"/>
                <w:kern w:val="0"/>
                <w:sz w:val="24"/>
                <w:szCs w:val="24"/>
                <w:lang w:val="zh-CN"/>
              </w:rPr>
              <w:t>元，较上年</w:t>
            </w:r>
            <w:r>
              <w:rPr>
                <w:rFonts w:ascii="宋体" w:hAnsi="宋体" w:cs="宋体" w:hint="eastAsia"/>
                <w:kern w:val="0"/>
                <w:sz w:val="24"/>
                <w:szCs w:val="24"/>
              </w:rPr>
              <w:t>度有较大幅度增长</w:t>
            </w:r>
            <w:r>
              <w:rPr>
                <w:rFonts w:ascii="宋体" w:hAnsi="宋体" w:cs="宋体" w:hint="eastAsia"/>
                <w:kern w:val="0"/>
                <w:sz w:val="24"/>
                <w:szCs w:val="24"/>
                <w:lang w:val="zh-CN"/>
              </w:rPr>
              <w:t>。</w:t>
            </w:r>
            <w:r>
              <w:rPr>
                <w:rFonts w:ascii="宋体" w:hAnsi="宋体" w:cs="宋体" w:hint="eastAsia"/>
                <w:kern w:val="0"/>
                <w:sz w:val="24"/>
                <w:szCs w:val="24"/>
              </w:rPr>
              <w:t>虽</w:t>
            </w:r>
            <w:r>
              <w:rPr>
                <w:rFonts w:ascii="宋体" w:hAnsi="宋体" w:cs="宋体" w:hint="eastAsia"/>
                <w:kern w:val="0"/>
                <w:sz w:val="24"/>
                <w:szCs w:val="24"/>
                <w:lang w:val="zh-CN"/>
              </w:rPr>
              <w:t>今年国内外经济形势不太乐观，</w:t>
            </w:r>
            <w:r>
              <w:rPr>
                <w:rFonts w:ascii="宋体" w:hAnsi="宋体" w:cs="宋体" w:hint="eastAsia"/>
                <w:kern w:val="0"/>
                <w:sz w:val="24"/>
                <w:szCs w:val="24"/>
              </w:rPr>
              <w:t>但公司所处业务领域，航空航天、轨道交通（高铁，地铁）属于国家战略支持行业，故受到的影响相对较小，以目前情况来看，我们有信心完成承诺业绩，具体数据仍在核算中最终请以公司所披露年报为准。</w:t>
            </w:r>
          </w:p>
          <w:p w:rsidR="001E7F9B" w:rsidRDefault="00650FED" w:rsidP="003C1A75">
            <w:pPr>
              <w:spacing w:beforeLines="50" w:afterLines="50" w:line="360" w:lineRule="auto"/>
              <w:rPr>
                <w:sz w:val="24"/>
                <w:szCs w:val="24"/>
              </w:rPr>
            </w:pPr>
            <w:r>
              <w:rPr>
                <w:rFonts w:cs="宋体" w:hint="eastAsia"/>
                <w:sz w:val="24"/>
                <w:szCs w:val="24"/>
              </w:rPr>
              <w:t>四</w:t>
            </w:r>
            <w:r>
              <w:rPr>
                <w:rFonts w:cs="宋体" w:hint="eastAsia"/>
                <w:sz w:val="24"/>
                <w:szCs w:val="24"/>
              </w:rPr>
              <w:t>、公司未来发展规划？</w:t>
            </w:r>
          </w:p>
          <w:p w:rsidR="001E7F9B" w:rsidRDefault="00650FED" w:rsidP="003C1A75">
            <w:pPr>
              <w:spacing w:beforeLines="50" w:afterLines="50" w:line="360" w:lineRule="auto"/>
              <w:ind w:firstLineChars="200" w:firstLine="480"/>
              <w:rPr>
                <w:rFonts w:cs="宋体"/>
                <w:sz w:val="24"/>
                <w:szCs w:val="24"/>
              </w:rPr>
            </w:pPr>
            <w:r>
              <w:rPr>
                <w:rFonts w:cs="宋体" w:hint="eastAsia"/>
                <w:sz w:val="24"/>
                <w:szCs w:val="24"/>
              </w:rPr>
              <w:t>公司在高端装备制造业领域将继续加大研发投入，特别在新技术、新工艺（如</w:t>
            </w:r>
            <w:r>
              <w:rPr>
                <w:rFonts w:cs="宋体" w:hint="eastAsia"/>
                <w:sz w:val="24"/>
                <w:szCs w:val="24"/>
              </w:rPr>
              <w:t>3D</w:t>
            </w:r>
            <w:r>
              <w:rPr>
                <w:rFonts w:cs="宋体" w:hint="eastAsia"/>
                <w:sz w:val="24"/>
                <w:szCs w:val="24"/>
              </w:rPr>
              <w:t>打印技术，内高压充液成型技术及粉末热等静压技术）及新材料等领域加大投入，提高公司产品的科技含量，抢占市场，继续做强公司在航空、航天及轨道交通领域业务规模。</w:t>
            </w:r>
          </w:p>
          <w:p w:rsidR="001E7F9B" w:rsidRDefault="00650FED" w:rsidP="003C1A75">
            <w:pPr>
              <w:spacing w:beforeLines="50" w:afterLines="50" w:line="360" w:lineRule="auto"/>
              <w:rPr>
                <w:rFonts w:cs="宋体"/>
                <w:sz w:val="24"/>
                <w:szCs w:val="24"/>
              </w:rPr>
            </w:pPr>
            <w:r>
              <w:rPr>
                <w:rFonts w:cs="宋体" w:hint="eastAsia"/>
                <w:sz w:val="24"/>
                <w:szCs w:val="24"/>
              </w:rPr>
              <w:t xml:space="preserve">    </w:t>
            </w:r>
            <w:r>
              <w:rPr>
                <w:rFonts w:cs="宋体" w:hint="eastAsia"/>
                <w:sz w:val="24"/>
                <w:szCs w:val="24"/>
              </w:rPr>
              <w:t>未来公司将以现有化工新材料行业为基础，着力打造化工新</w:t>
            </w:r>
            <w:r>
              <w:rPr>
                <w:rFonts w:cs="宋体" w:hint="eastAsia"/>
                <w:sz w:val="24"/>
                <w:szCs w:val="24"/>
              </w:rPr>
              <w:lastRenderedPageBreak/>
              <w:t>材料与航空、航天及军工装备制造双主业驱动发展模式，进一步夯实产业链条，建立持续、健康、稳定的双主业发展模式。</w:t>
            </w:r>
          </w:p>
        </w:tc>
      </w:tr>
    </w:tbl>
    <w:p w:rsidR="001E7F9B" w:rsidRDefault="001E7F9B">
      <w:pPr>
        <w:widowControl/>
        <w:jc w:val="left"/>
      </w:pPr>
      <w:bookmarkStart w:id="0" w:name="_GoBack"/>
      <w:bookmarkEnd w:id="0"/>
    </w:p>
    <w:sectPr w:rsidR="001E7F9B" w:rsidSect="001E7F9B">
      <w:pgSz w:w="11906" w:h="16838"/>
      <w:pgMar w:top="1276"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853A0"/>
    <w:rsid w:val="00090818"/>
    <w:rsid w:val="000B475D"/>
    <w:rsid w:val="000C14A1"/>
    <w:rsid w:val="001E7F9B"/>
    <w:rsid w:val="002112B9"/>
    <w:rsid w:val="002215A2"/>
    <w:rsid w:val="003260CD"/>
    <w:rsid w:val="003C1A75"/>
    <w:rsid w:val="00430BF2"/>
    <w:rsid w:val="004928EB"/>
    <w:rsid w:val="004A4E94"/>
    <w:rsid w:val="00506473"/>
    <w:rsid w:val="00564841"/>
    <w:rsid w:val="00571FB9"/>
    <w:rsid w:val="005A6BA0"/>
    <w:rsid w:val="005B4C65"/>
    <w:rsid w:val="005C12CC"/>
    <w:rsid w:val="005E2CC0"/>
    <w:rsid w:val="0060267B"/>
    <w:rsid w:val="006109E4"/>
    <w:rsid w:val="0061150F"/>
    <w:rsid w:val="00637256"/>
    <w:rsid w:val="00650FED"/>
    <w:rsid w:val="006624E5"/>
    <w:rsid w:val="006860B9"/>
    <w:rsid w:val="006A3081"/>
    <w:rsid w:val="006A7449"/>
    <w:rsid w:val="0070372D"/>
    <w:rsid w:val="007663D9"/>
    <w:rsid w:val="007840DD"/>
    <w:rsid w:val="007C0DD9"/>
    <w:rsid w:val="007E29EB"/>
    <w:rsid w:val="00873532"/>
    <w:rsid w:val="00877CCF"/>
    <w:rsid w:val="009C7C69"/>
    <w:rsid w:val="00A05E8A"/>
    <w:rsid w:val="00A471D4"/>
    <w:rsid w:val="00AC70A1"/>
    <w:rsid w:val="00B02832"/>
    <w:rsid w:val="00B16A0E"/>
    <w:rsid w:val="00B50FD7"/>
    <w:rsid w:val="00BB3ED4"/>
    <w:rsid w:val="00C0152C"/>
    <w:rsid w:val="00C05B72"/>
    <w:rsid w:val="00CB2E1F"/>
    <w:rsid w:val="00CD272F"/>
    <w:rsid w:val="00CF27F0"/>
    <w:rsid w:val="00D72654"/>
    <w:rsid w:val="00DA32B2"/>
    <w:rsid w:val="00DB4AA8"/>
    <w:rsid w:val="00E65BB4"/>
    <w:rsid w:val="00EC4439"/>
    <w:rsid w:val="00EE282B"/>
    <w:rsid w:val="00F06BC7"/>
    <w:rsid w:val="00F227B6"/>
    <w:rsid w:val="00F60885"/>
    <w:rsid w:val="00FA7172"/>
    <w:rsid w:val="00FD1A82"/>
    <w:rsid w:val="00FE095D"/>
    <w:rsid w:val="22983C94"/>
    <w:rsid w:val="24E54698"/>
    <w:rsid w:val="2DF21006"/>
    <w:rsid w:val="3A703571"/>
    <w:rsid w:val="56141943"/>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9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E7F9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E7F9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E7F9B"/>
    <w:rPr>
      <w:rFonts w:ascii="Times New Roman" w:hAnsi="Times New Roman"/>
      <w:kern w:val="2"/>
      <w:sz w:val="18"/>
      <w:szCs w:val="18"/>
    </w:rPr>
  </w:style>
  <w:style w:type="character" w:customStyle="1" w:styleId="Char">
    <w:name w:val="页脚 Char"/>
    <w:basedOn w:val="a0"/>
    <w:link w:val="a3"/>
    <w:uiPriority w:val="99"/>
    <w:semiHidden/>
    <w:qFormat/>
    <w:rsid w:val="001E7F9B"/>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182</Words>
  <Characters>1040</Characters>
  <Application>Microsoft Office Word</Application>
  <DocSecurity>0</DocSecurity>
  <Lines>8</Lines>
  <Paragraphs>2</Paragraphs>
  <ScaleCrop>false</ScaleCrop>
  <Company>WwW.YlmF.CoM</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36</cp:revision>
  <dcterms:created xsi:type="dcterms:W3CDTF">2016-04-22T05:38:00Z</dcterms:created>
  <dcterms:modified xsi:type="dcterms:W3CDTF">2017-02-15T08:22:00Z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