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4E0" w:rsidRDefault="00CA34E0" w:rsidP="00CA34E0">
      <w:pPr>
        <w:spacing w:beforeLines="50" w:before="156" w:afterLines="50" w:after="156" w:line="460" w:lineRule="exact"/>
        <w:jc w:val="center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证券代码：000661                              证券简称：长春高新</w:t>
      </w:r>
    </w:p>
    <w:p w:rsidR="00CA34E0" w:rsidRPr="00B154E5" w:rsidRDefault="00CA34E0" w:rsidP="00CA34E0">
      <w:pPr>
        <w:spacing w:beforeLines="50" w:before="156" w:afterLines="50" w:after="156" w:line="460" w:lineRule="exact"/>
        <w:ind w:firstLineChars="200" w:firstLine="643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 w:rsidRPr="00B154E5"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长春高新技术产业（集团）股份有限公司</w:t>
      </w:r>
    </w:p>
    <w:p w:rsidR="00CA34E0" w:rsidRPr="00B154E5" w:rsidRDefault="00CA34E0" w:rsidP="00CA34E0">
      <w:pPr>
        <w:spacing w:beforeLines="50" w:before="156" w:afterLines="50" w:after="156" w:line="460" w:lineRule="exact"/>
        <w:ind w:firstLineChars="200" w:firstLine="643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 w:rsidRPr="00B154E5"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投资者关系活动记录表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954"/>
      </w:tblGrid>
      <w:tr w:rsidR="00CA34E0" w:rsidRPr="00684615" w:rsidTr="00A742AC">
        <w:tc>
          <w:tcPr>
            <w:tcW w:w="3119" w:type="dxa"/>
            <w:hideMark/>
          </w:tcPr>
          <w:p w:rsidR="00CA34E0" w:rsidRPr="00684615" w:rsidRDefault="00CA34E0" w:rsidP="00A742AC">
            <w:pPr>
              <w:spacing w:line="276" w:lineRule="auto"/>
              <w:ind w:firstLineChars="50" w:firstLine="105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投资者关系活动类别</w:t>
            </w:r>
          </w:p>
        </w:tc>
        <w:tc>
          <w:tcPr>
            <w:tcW w:w="5954" w:type="dxa"/>
            <w:hideMark/>
          </w:tcPr>
          <w:p w:rsidR="00CA34E0" w:rsidRPr="00684615" w:rsidRDefault="00CA34E0" w:rsidP="00C76D38">
            <w:pPr>
              <w:spacing w:line="276" w:lineRule="auto"/>
              <w:ind w:firstLineChars="200" w:firstLine="420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长春高新</w:t>
            </w:r>
            <w:r w:rsidR="00C76D38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年报解读</w:t>
            </w:r>
            <w:r w:rsidR="00C76D38">
              <w:rPr>
                <w:rFonts w:ascii="宋体" w:hAnsi="宋体"/>
                <w:bCs/>
                <w:iCs/>
                <w:color w:val="000000"/>
                <w:kern w:val="0"/>
                <w:szCs w:val="21"/>
              </w:rPr>
              <w:t>电话会议</w:t>
            </w:r>
          </w:p>
        </w:tc>
      </w:tr>
      <w:tr w:rsidR="00CA34E0" w:rsidRPr="0092182D" w:rsidTr="00A742AC">
        <w:tc>
          <w:tcPr>
            <w:tcW w:w="3119" w:type="dxa"/>
            <w:vAlign w:val="center"/>
            <w:hideMark/>
          </w:tcPr>
          <w:p w:rsidR="00CA34E0" w:rsidRPr="00684615" w:rsidRDefault="00CA34E0" w:rsidP="00A742AC">
            <w:pPr>
              <w:spacing w:line="276" w:lineRule="auto"/>
              <w:ind w:firstLineChars="50" w:firstLine="105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参与单位名称</w:t>
            </w:r>
          </w:p>
        </w:tc>
        <w:tc>
          <w:tcPr>
            <w:tcW w:w="5954" w:type="dxa"/>
            <w:hideMark/>
          </w:tcPr>
          <w:p w:rsidR="00CA34E0" w:rsidRPr="00634478" w:rsidRDefault="002166AD" w:rsidP="00781396">
            <w:pPr>
              <w:spacing w:line="276" w:lineRule="auto"/>
              <w:ind w:firstLineChars="200" w:firstLine="420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广发证券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万德投资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上海博颐投资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上海大朴资产管理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上海天泽投资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上海弘尚资产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上海彤源投资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上海摩汇投资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上海林孚投资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上海鑫富越投资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上海鼎锋资产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东方证券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中信建投基金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中信证券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中再资产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中加基金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中国人寿养老保险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中欧基金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中金公司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中银国际证券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五牛基金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交银施罗德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信诚基金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信达澳银基金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信达证券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光大证券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兴业全球基金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兴业基金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北京中港融鑫资产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北京宏道投资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北京星石投资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北京泓澄投资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北京玺萌财富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千华资本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华商基金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华安基金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华融证券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南土投资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博道投资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友邦保险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吉富投资有限公司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和熙投资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国信证券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国寿养老保险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国投瑞银基金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国泰君安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国泰基金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国联证券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大成基金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天风证券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奥博资本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山西证券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工银瑞信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工银瑞信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常春藤资产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广东新价值投资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广发基金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广发证券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广证创投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建正投资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德毅资本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德邦基金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摩根士丹利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华鑫基金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新华资产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新时代证券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晟盟资产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普尔投资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景林资产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朱雀投资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标普投资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格林施通资产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毅木资产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民生保险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民生通惠资产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永安国富资产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永诚保险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汇利资产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汇添富基金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汉和资本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江海证券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浦银安盛基金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海通证券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淡水泉(北京)投资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清和泉资本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渤海证券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澄澈投资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瑞锐投资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申万宏源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申万菱信基金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留仁资产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盛世景资产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科威特投资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翼虎投资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致君资产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诺安基金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财通基金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通晟资产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道谊资本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银河基金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银河资管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银石投资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长安基金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长顺基金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韩国投资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香港沪光国际投资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骏建投资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鲲鹏财富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鹏华基金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鼎峰资产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齐鲁证券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Pr="002166AD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龙腾资产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等</w:t>
            </w:r>
            <w:r w:rsidR="00781396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1</w:t>
            </w:r>
            <w:r w:rsidR="00781396">
              <w:rPr>
                <w:rFonts w:ascii="宋体"/>
                <w:bCs/>
                <w:iCs/>
                <w:color w:val="000000"/>
                <w:kern w:val="0"/>
                <w:szCs w:val="21"/>
              </w:rPr>
              <w:t>12</w:t>
            </w:r>
            <w:r w:rsidR="00CC7105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家机构投资者。</w:t>
            </w:r>
          </w:p>
        </w:tc>
      </w:tr>
      <w:tr w:rsidR="00CA34E0" w:rsidRPr="00684615" w:rsidTr="00A742AC">
        <w:tc>
          <w:tcPr>
            <w:tcW w:w="3119" w:type="dxa"/>
            <w:hideMark/>
          </w:tcPr>
          <w:p w:rsidR="00CA34E0" w:rsidRPr="00684615" w:rsidRDefault="00CA34E0" w:rsidP="00A742AC">
            <w:pPr>
              <w:spacing w:line="276" w:lineRule="auto"/>
              <w:ind w:firstLineChars="50" w:firstLine="105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5954" w:type="dxa"/>
            <w:hideMark/>
          </w:tcPr>
          <w:p w:rsidR="00CA34E0" w:rsidRPr="00361642" w:rsidRDefault="00CA34E0" w:rsidP="00DB7E6E">
            <w:pPr>
              <w:spacing w:line="276" w:lineRule="auto"/>
              <w:ind w:firstLineChars="200" w:firstLine="420"/>
              <w:rPr>
                <w:rFonts w:ascii="宋体" w:hAnsi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iCs/>
                <w:color w:val="000000"/>
                <w:kern w:val="0"/>
                <w:szCs w:val="21"/>
              </w:rPr>
              <w:t>201</w:t>
            </w:r>
            <w:r w:rsidR="00C83C42">
              <w:rPr>
                <w:rFonts w:ascii="宋体" w:hAnsi="宋体"/>
                <w:bCs/>
                <w:iCs/>
                <w:color w:val="000000"/>
                <w:kern w:val="0"/>
                <w:szCs w:val="21"/>
              </w:rPr>
              <w:t>7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年</w:t>
            </w:r>
            <w:r w:rsidR="00DB7E6E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月</w:t>
            </w:r>
            <w:r w:rsidR="00DB7E6E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28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日</w:t>
            </w:r>
          </w:p>
        </w:tc>
      </w:tr>
      <w:tr w:rsidR="00CA34E0" w:rsidRPr="00684615" w:rsidTr="00A742AC">
        <w:tc>
          <w:tcPr>
            <w:tcW w:w="3119" w:type="dxa"/>
            <w:hideMark/>
          </w:tcPr>
          <w:p w:rsidR="00CA34E0" w:rsidRPr="00684615" w:rsidRDefault="00CA34E0" w:rsidP="00A742AC">
            <w:pPr>
              <w:spacing w:line="276" w:lineRule="auto"/>
              <w:ind w:firstLineChars="50" w:firstLine="105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5954" w:type="dxa"/>
            <w:hideMark/>
          </w:tcPr>
          <w:p w:rsidR="00CA34E0" w:rsidRPr="00684615" w:rsidRDefault="00263702" w:rsidP="001D220B">
            <w:pPr>
              <w:spacing w:line="276" w:lineRule="auto"/>
              <w:ind w:firstLineChars="200" w:firstLine="420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电话会议</w:t>
            </w:r>
          </w:p>
        </w:tc>
      </w:tr>
      <w:tr w:rsidR="00CA34E0" w:rsidRPr="00684615" w:rsidTr="00A742AC">
        <w:tc>
          <w:tcPr>
            <w:tcW w:w="3119" w:type="dxa"/>
            <w:hideMark/>
          </w:tcPr>
          <w:p w:rsidR="00CA34E0" w:rsidRPr="00684615" w:rsidRDefault="00CA34E0" w:rsidP="00A742AC">
            <w:pPr>
              <w:spacing w:line="276" w:lineRule="auto"/>
              <w:ind w:firstLineChars="50" w:firstLine="105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上市公司接待人员姓名</w:t>
            </w:r>
          </w:p>
        </w:tc>
        <w:tc>
          <w:tcPr>
            <w:tcW w:w="5954" w:type="dxa"/>
            <w:hideMark/>
          </w:tcPr>
          <w:p w:rsidR="00CA34E0" w:rsidRPr="00684615" w:rsidRDefault="00CA34E0" w:rsidP="00A742AC">
            <w:pPr>
              <w:spacing w:line="276" w:lineRule="auto"/>
              <w:ind w:firstLineChars="200" w:firstLine="420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董事会</w:t>
            </w:r>
            <w:r>
              <w:rPr>
                <w:rFonts w:ascii="宋体" w:hAnsi="宋体"/>
                <w:bCs/>
                <w:iCs/>
                <w:color w:val="000000"/>
                <w:kern w:val="0"/>
                <w:szCs w:val="21"/>
              </w:rPr>
              <w:t>秘书张德申先生</w:t>
            </w:r>
          </w:p>
        </w:tc>
      </w:tr>
      <w:tr w:rsidR="00CA34E0" w:rsidRPr="00684615" w:rsidTr="00A742AC">
        <w:tc>
          <w:tcPr>
            <w:tcW w:w="3119" w:type="dxa"/>
            <w:vAlign w:val="center"/>
          </w:tcPr>
          <w:p w:rsidR="00CA34E0" w:rsidRPr="00684615" w:rsidRDefault="00CA34E0" w:rsidP="00A742AC">
            <w:pPr>
              <w:spacing w:line="276" w:lineRule="auto"/>
              <w:ind w:firstLineChars="50" w:firstLine="105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投资者关系活动主要内容介绍</w:t>
            </w:r>
          </w:p>
        </w:tc>
        <w:tc>
          <w:tcPr>
            <w:tcW w:w="5954" w:type="dxa"/>
            <w:hideMark/>
          </w:tcPr>
          <w:p w:rsidR="00CA34E0" w:rsidRPr="0092182D" w:rsidRDefault="00CA34E0" w:rsidP="00A742AC">
            <w:pPr>
              <w:spacing w:line="276" w:lineRule="auto"/>
              <w:ind w:firstLineChars="200" w:firstLine="420"/>
              <w:jc w:val="left"/>
              <w:rPr>
                <w:rFonts w:ascii="宋体" w:hAnsi="宋体"/>
                <w:bCs/>
                <w:iCs/>
                <w:color w:val="000000"/>
                <w:kern w:val="0"/>
                <w:szCs w:val="21"/>
              </w:rPr>
            </w:pPr>
            <w:r w:rsidRPr="0092182D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详见附件</w:t>
            </w:r>
          </w:p>
        </w:tc>
      </w:tr>
      <w:tr w:rsidR="00CA34E0" w:rsidRPr="00684615" w:rsidTr="00A742AC">
        <w:tc>
          <w:tcPr>
            <w:tcW w:w="3119" w:type="dxa"/>
            <w:vAlign w:val="center"/>
            <w:hideMark/>
          </w:tcPr>
          <w:p w:rsidR="00CA34E0" w:rsidRPr="00684615" w:rsidRDefault="00CA34E0" w:rsidP="00A742AC">
            <w:pPr>
              <w:spacing w:line="276" w:lineRule="auto"/>
              <w:ind w:firstLineChars="50" w:firstLine="105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相关说明</w:t>
            </w:r>
          </w:p>
        </w:tc>
        <w:tc>
          <w:tcPr>
            <w:tcW w:w="5954" w:type="dxa"/>
            <w:hideMark/>
          </w:tcPr>
          <w:p w:rsidR="00CA34E0" w:rsidRPr="00684615" w:rsidRDefault="00CA34E0" w:rsidP="00A742AC">
            <w:pPr>
              <w:spacing w:line="276" w:lineRule="auto"/>
              <w:ind w:firstLineChars="200" w:firstLine="420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以往机构调研中公司回答过的问题，本次活动披露附件中未做重复介绍；公司接待人员与投资者交流过程中，严格遵守</w:t>
            </w: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有关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规章制度，</w:t>
            </w: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未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泄露公司尚未</w:t>
            </w: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公开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的重大信息</w:t>
            </w: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。</w:t>
            </w:r>
          </w:p>
        </w:tc>
      </w:tr>
    </w:tbl>
    <w:p w:rsidR="00CA34E0" w:rsidRDefault="00CA34E0" w:rsidP="00CA34E0">
      <w:pPr>
        <w:spacing w:line="460" w:lineRule="exact"/>
        <w:ind w:firstLineChars="200" w:firstLine="420"/>
        <w:rPr>
          <w:rFonts w:ascii="宋体" w:hAnsi="宋体"/>
          <w:bCs/>
          <w:iCs/>
          <w:color w:val="000000"/>
          <w:kern w:val="0"/>
          <w:szCs w:val="21"/>
        </w:rPr>
      </w:pPr>
    </w:p>
    <w:p w:rsidR="00CA34E0" w:rsidRPr="007766AF" w:rsidRDefault="00CA34E0" w:rsidP="00CA34E0">
      <w:pPr>
        <w:spacing w:after="240" w:line="420" w:lineRule="exact"/>
        <w:ind w:firstLineChars="200" w:firstLine="482"/>
        <w:rPr>
          <w:rFonts w:ascii="宋体" w:hAnsi="宋体"/>
          <w:b/>
          <w:sz w:val="24"/>
        </w:rPr>
      </w:pPr>
      <w:r w:rsidRPr="007766AF">
        <w:rPr>
          <w:rFonts w:ascii="宋体" w:hAnsi="宋体" w:hint="eastAsia"/>
          <w:b/>
          <w:sz w:val="24"/>
        </w:rPr>
        <w:lastRenderedPageBreak/>
        <w:t>附件：投资者关系活动主要内容介绍</w:t>
      </w:r>
    </w:p>
    <w:p w:rsidR="00CA34E0" w:rsidRDefault="00CA34E0" w:rsidP="00CA34E0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问：金赛药业</w:t>
      </w:r>
      <w:r w:rsidR="004D750E">
        <w:rPr>
          <w:rFonts w:hint="eastAsia"/>
          <w:b/>
          <w:sz w:val="24"/>
        </w:rPr>
        <w:t>拟</w:t>
      </w:r>
      <w:r>
        <w:rPr>
          <w:rFonts w:hint="eastAsia"/>
          <w:b/>
          <w:sz w:val="24"/>
        </w:rPr>
        <w:t>新三板</w:t>
      </w:r>
      <w:r w:rsidR="005F4054">
        <w:rPr>
          <w:rFonts w:hint="eastAsia"/>
          <w:b/>
          <w:sz w:val="24"/>
        </w:rPr>
        <w:t>挂牌</w:t>
      </w:r>
      <w:r w:rsidR="00313B48">
        <w:rPr>
          <w:rFonts w:hint="eastAsia"/>
          <w:b/>
          <w:sz w:val="24"/>
        </w:rPr>
        <w:t>进展情况</w:t>
      </w:r>
      <w:r>
        <w:rPr>
          <w:rFonts w:hint="eastAsia"/>
          <w:b/>
          <w:sz w:val="24"/>
        </w:rPr>
        <w:t>？</w:t>
      </w:r>
    </w:p>
    <w:p w:rsidR="00D826C8" w:rsidRDefault="00CA34E0" w:rsidP="007B519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2270E">
        <w:rPr>
          <w:rFonts w:hint="eastAsia"/>
          <w:sz w:val="24"/>
        </w:rPr>
        <w:t>答：</w:t>
      </w:r>
      <w:r w:rsidR="007B5190">
        <w:rPr>
          <w:rFonts w:ascii="宋体" w:hAnsi="宋体" w:hint="eastAsia"/>
          <w:sz w:val="24"/>
        </w:rPr>
        <w:t>目前仍与深圳证券交易所等部门</w:t>
      </w:r>
      <w:r w:rsidR="0027710E">
        <w:rPr>
          <w:rFonts w:ascii="宋体" w:hAnsi="宋体" w:hint="eastAsia"/>
          <w:sz w:val="24"/>
        </w:rPr>
        <w:t>进行</w:t>
      </w:r>
      <w:r w:rsidR="007B5190">
        <w:rPr>
          <w:rFonts w:ascii="宋体" w:hAnsi="宋体" w:hint="eastAsia"/>
          <w:sz w:val="24"/>
        </w:rPr>
        <w:t>沟通，</w:t>
      </w:r>
      <w:r w:rsidR="00C76D38">
        <w:rPr>
          <w:rFonts w:ascii="宋体" w:hAnsi="宋体" w:hint="eastAsia"/>
          <w:sz w:val="24"/>
        </w:rPr>
        <w:t>省、</w:t>
      </w:r>
      <w:r w:rsidR="007B5190">
        <w:rPr>
          <w:rFonts w:ascii="宋体" w:hAnsi="宋体" w:hint="eastAsia"/>
          <w:sz w:val="24"/>
        </w:rPr>
        <w:t>市各级政府对此事</w:t>
      </w:r>
      <w:r w:rsidR="00C76D38">
        <w:rPr>
          <w:rFonts w:ascii="宋体" w:hAnsi="宋体" w:hint="eastAsia"/>
          <w:sz w:val="24"/>
        </w:rPr>
        <w:t>也</w:t>
      </w:r>
      <w:r w:rsidR="007B5190">
        <w:rPr>
          <w:rFonts w:ascii="宋体" w:hAnsi="宋体" w:hint="eastAsia"/>
          <w:sz w:val="24"/>
        </w:rPr>
        <w:t>高度重视与关注。金赛药业若能成功挂牌新三板，对公司的发展及地方经济的发展都将起到积极的推动作用。</w:t>
      </w:r>
    </w:p>
    <w:p w:rsidR="00D826C8" w:rsidRDefault="00D826C8" w:rsidP="00D826C8">
      <w:pPr>
        <w:spacing w:line="360" w:lineRule="auto"/>
        <w:ind w:firstLineChars="200" w:firstLine="482"/>
        <w:rPr>
          <w:b/>
          <w:sz w:val="24"/>
        </w:rPr>
      </w:pPr>
    </w:p>
    <w:p w:rsidR="00FD6FBC" w:rsidRDefault="00FD6FBC" w:rsidP="00FD6FBC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问：金赛药业长效生长激素</w:t>
      </w:r>
      <w:r>
        <w:rPr>
          <w:rFonts w:hint="eastAsia"/>
          <w:b/>
          <w:sz w:val="24"/>
        </w:rPr>
        <w:t>2017</w:t>
      </w:r>
      <w:r>
        <w:rPr>
          <w:rFonts w:hint="eastAsia"/>
          <w:b/>
          <w:sz w:val="24"/>
        </w:rPr>
        <w:t>年市场前景怎样？</w:t>
      </w:r>
    </w:p>
    <w:p w:rsidR="00FD6FBC" w:rsidRDefault="00FD6FBC" w:rsidP="00FD6FB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2270E">
        <w:rPr>
          <w:rFonts w:hint="eastAsia"/>
          <w:sz w:val="24"/>
        </w:rPr>
        <w:t>答：</w:t>
      </w:r>
      <w:r>
        <w:rPr>
          <w:rFonts w:hint="eastAsia"/>
          <w:sz w:val="24"/>
        </w:rPr>
        <w:t>随着</w:t>
      </w:r>
      <w:r w:rsidR="00E968EC">
        <w:rPr>
          <w:rFonts w:hint="eastAsia"/>
          <w:sz w:val="24"/>
        </w:rPr>
        <w:t>下半年</w:t>
      </w:r>
      <w:r w:rsidR="00E968EC" w:rsidRPr="00E968EC">
        <w:rPr>
          <w:rFonts w:hint="eastAsia"/>
          <w:sz w:val="24"/>
        </w:rPr>
        <w:t>长效生长激素</w:t>
      </w:r>
      <w:r>
        <w:rPr>
          <w:rFonts w:hint="eastAsia"/>
          <w:sz w:val="24"/>
        </w:rPr>
        <w:t>Ⅳ期临床的顺利结束，预计长效生长激素的销量会有一定的增长。</w:t>
      </w:r>
    </w:p>
    <w:p w:rsidR="00FD6FBC" w:rsidRPr="00FD6FBC" w:rsidRDefault="00FD6FBC" w:rsidP="00D826C8">
      <w:pPr>
        <w:spacing w:line="360" w:lineRule="auto"/>
        <w:ind w:firstLineChars="200" w:firstLine="480"/>
        <w:rPr>
          <w:sz w:val="24"/>
        </w:rPr>
      </w:pPr>
    </w:p>
    <w:p w:rsidR="00D826C8" w:rsidRDefault="00D826C8" w:rsidP="00D826C8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问：</w:t>
      </w:r>
      <w:r w:rsidR="007B5190">
        <w:rPr>
          <w:rFonts w:hint="eastAsia"/>
          <w:b/>
          <w:sz w:val="24"/>
        </w:rPr>
        <w:t>百克生物业绩同比上升幅度加大，是什么原因</w:t>
      </w:r>
      <w:r>
        <w:rPr>
          <w:rFonts w:hint="eastAsia"/>
          <w:b/>
          <w:sz w:val="24"/>
        </w:rPr>
        <w:t>？</w:t>
      </w:r>
    </w:p>
    <w:p w:rsidR="00D826C8" w:rsidRPr="0042004A" w:rsidRDefault="00D826C8" w:rsidP="0042004A">
      <w:pPr>
        <w:spacing w:line="360" w:lineRule="auto"/>
        <w:ind w:firstLineChars="200" w:firstLine="480"/>
        <w:rPr>
          <w:b/>
          <w:sz w:val="24"/>
        </w:rPr>
      </w:pPr>
      <w:r w:rsidRPr="0072270E">
        <w:rPr>
          <w:rFonts w:hint="eastAsia"/>
          <w:sz w:val="24"/>
        </w:rPr>
        <w:t>答：</w:t>
      </w:r>
      <w:r w:rsidR="007B5190" w:rsidRPr="007B5190">
        <w:rPr>
          <w:rFonts w:hint="eastAsia"/>
          <w:sz w:val="24"/>
        </w:rPr>
        <w:t>百克生物业绩同比上升幅度加大</w:t>
      </w:r>
      <w:r w:rsidR="007B5190">
        <w:rPr>
          <w:rFonts w:hint="eastAsia"/>
          <w:sz w:val="24"/>
        </w:rPr>
        <w:t>得益于水痘疫苗的市场占有率有所提升，出口实现突破，管理费用有所降低等因素的影响。</w:t>
      </w:r>
    </w:p>
    <w:p w:rsidR="00C169B6" w:rsidRDefault="00C169B6" w:rsidP="00D826C8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</w:p>
    <w:p w:rsidR="00FD6FBC" w:rsidRDefault="00FD6FBC" w:rsidP="00D826C8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hint="eastAsia"/>
          <w:b/>
          <w:sz w:val="24"/>
        </w:rPr>
        <w:t>问：百克生物的鼻喷流感疫苗临床试验进展如何？</w:t>
      </w:r>
    </w:p>
    <w:p w:rsidR="0083535C" w:rsidRDefault="00FD6FBC" w:rsidP="00CA34E0">
      <w:pPr>
        <w:spacing w:line="360" w:lineRule="auto"/>
        <w:ind w:firstLineChars="200" w:firstLine="480"/>
        <w:rPr>
          <w:sz w:val="24"/>
        </w:rPr>
      </w:pPr>
      <w:r w:rsidRPr="0072270E">
        <w:rPr>
          <w:rFonts w:hint="eastAsia"/>
          <w:sz w:val="24"/>
        </w:rPr>
        <w:t>答：</w:t>
      </w:r>
      <w:r>
        <w:rPr>
          <w:rFonts w:hint="eastAsia"/>
          <w:sz w:val="24"/>
        </w:rPr>
        <w:t>该项目正在进行Ⅲ期临床试验。</w:t>
      </w:r>
    </w:p>
    <w:p w:rsidR="00FD6FBC" w:rsidRPr="000E6E18" w:rsidRDefault="00FD6FBC" w:rsidP="00CA34E0">
      <w:pPr>
        <w:spacing w:line="360" w:lineRule="auto"/>
        <w:ind w:firstLineChars="200" w:firstLine="482"/>
        <w:rPr>
          <w:b/>
          <w:sz w:val="24"/>
        </w:rPr>
      </w:pPr>
    </w:p>
    <w:p w:rsidR="00CA34E0" w:rsidRPr="007766AF" w:rsidRDefault="00CA34E0" w:rsidP="00CA34E0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7766AF">
        <w:rPr>
          <w:rFonts w:ascii="宋体" w:hAnsi="宋体" w:hint="eastAsia"/>
          <w:b/>
          <w:sz w:val="24"/>
        </w:rPr>
        <w:t>问</w:t>
      </w:r>
      <w:r w:rsidRPr="007766AF">
        <w:rPr>
          <w:rFonts w:ascii="宋体" w:hAnsi="宋体"/>
          <w:b/>
          <w:sz w:val="24"/>
        </w:rPr>
        <w:t>：</w:t>
      </w:r>
      <w:r w:rsidR="007B5190">
        <w:rPr>
          <w:rFonts w:ascii="宋体" w:hAnsi="宋体" w:hint="eastAsia"/>
          <w:b/>
          <w:sz w:val="24"/>
        </w:rPr>
        <w:t>迈丰药业狂犬疫苗工艺稳定工作怎样，何时能实现扭亏</w:t>
      </w:r>
      <w:r>
        <w:rPr>
          <w:rFonts w:ascii="宋体" w:hAnsi="宋体" w:hint="eastAsia"/>
          <w:b/>
          <w:sz w:val="24"/>
        </w:rPr>
        <w:t>？</w:t>
      </w:r>
    </w:p>
    <w:p w:rsidR="00CA34E0" w:rsidRPr="007766AF" w:rsidRDefault="00CA34E0" w:rsidP="00CA34E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766AF">
        <w:rPr>
          <w:rFonts w:ascii="宋体" w:hAnsi="宋体" w:hint="eastAsia"/>
          <w:sz w:val="24"/>
        </w:rPr>
        <w:t>答</w:t>
      </w:r>
      <w:r w:rsidRPr="007766AF">
        <w:rPr>
          <w:rFonts w:ascii="宋体" w:hAnsi="宋体"/>
          <w:sz w:val="24"/>
        </w:rPr>
        <w:t>：</w:t>
      </w:r>
      <w:r w:rsidR="007B5190">
        <w:rPr>
          <w:rFonts w:ascii="宋体" w:hAnsi="宋体" w:hint="eastAsia"/>
          <w:sz w:val="24"/>
        </w:rPr>
        <w:t>狂犬疫苗工艺稳定工作已解决，狂犬疫苗产品效期延长至十八个月已获批，预计2017年度或有少量亏损，2018年度可以实现盈利。</w:t>
      </w:r>
    </w:p>
    <w:p w:rsidR="00CA34E0" w:rsidRDefault="00CA34E0" w:rsidP="00CA34E0">
      <w:pPr>
        <w:spacing w:line="360" w:lineRule="auto"/>
        <w:ind w:firstLineChars="200" w:firstLine="482"/>
        <w:rPr>
          <w:b/>
          <w:sz w:val="24"/>
        </w:rPr>
      </w:pPr>
    </w:p>
    <w:p w:rsidR="00FD6FBC" w:rsidRDefault="00FD6FBC" w:rsidP="00FD6FBC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7766AF">
        <w:rPr>
          <w:rFonts w:ascii="宋体" w:hAnsi="宋体" w:hint="eastAsia"/>
          <w:b/>
          <w:sz w:val="24"/>
        </w:rPr>
        <w:t>问</w:t>
      </w:r>
      <w:r w:rsidRPr="007766AF">
        <w:rPr>
          <w:rFonts w:ascii="宋体" w:hAnsi="宋体"/>
          <w:b/>
          <w:sz w:val="24"/>
        </w:rPr>
        <w:t>：</w:t>
      </w:r>
      <w:r>
        <w:rPr>
          <w:rFonts w:ascii="宋体" w:hAnsi="宋体" w:hint="eastAsia"/>
          <w:b/>
          <w:sz w:val="24"/>
        </w:rPr>
        <w:t>高新地产收入同比上升，净利润同比下降，主要原因是什么？</w:t>
      </w:r>
    </w:p>
    <w:p w:rsidR="00FD6FBC" w:rsidRPr="00D826C8" w:rsidRDefault="00FD6FBC" w:rsidP="00FD6FB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D826C8">
        <w:rPr>
          <w:rFonts w:ascii="宋体" w:hAnsi="宋体" w:hint="eastAsia"/>
          <w:sz w:val="24"/>
        </w:rPr>
        <w:t>答：</w:t>
      </w:r>
      <w:r>
        <w:rPr>
          <w:rFonts w:ascii="宋体" w:hAnsi="宋体" w:hint="eastAsia"/>
          <w:sz w:val="24"/>
        </w:rPr>
        <w:t>高新地产和园项目</w:t>
      </w:r>
      <w:r w:rsidR="00C76D38">
        <w:rPr>
          <w:rFonts w:ascii="宋体" w:hAnsi="宋体" w:hint="eastAsia"/>
          <w:sz w:val="24"/>
        </w:rPr>
        <w:t>系</w:t>
      </w:r>
      <w:r w:rsidR="009D0487">
        <w:rPr>
          <w:rFonts w:ascii="宋体" w:hAnsi="宋体" w:hint="eastAsia"/>
          <w:sz w:val="24"/>
        </w:rPr>
        <w:t>多</w:t>
      </w:r>
      <w:r>
        <w:rPr>
          <w:rFonts w:ascii="宋体" w:hAnsi="宋体" w:hint="eastAsia"/>
          <w:sz w:val="24"/>
        </w:rPr>
        <w:t>层洋房精品项目</w:t>
      </w:r>
      <w:r w:rsidR="00C76D38"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成本有所提高，且合作投资的项目尚未</w:t>
      </w:r>
      <w:r w:rsidR="00E968EC">
        <w:rPr>
          <w:rFonts w:ascii="宋体" w:hAnsi="宋体" w:hint="eastAsia"/>
          <w:sz w:val="24"/>
        </w:rPr>
        <w:t>全部结算，导致</w:t>
      </w:r>
      <w:r w:rsidR="00C76D38">
        <w:rPr>
          <w:rFonts w:ascii="宋体" w:hAnsi="宋体" w:hint="eastAsia"/>
          <w:sz w:val="24"/>
        </w:rPr>
        <w:t>报告期内</w:t>
      </w:r>
      <w:r w:rsidR="00E968EC">
        <w:rPr>
          <w:rFonts w:ascii="宋体" w:hAnsi="宋体" w:hint="eastAsia"/>
          <w:sz w:val="24"/>
        </w:rPr>
        <w:t>净利润同比</w:t>
      </w:r>
      <w:r w:rsidR="00C76D38">
        <w:rPr>
          <w:rFonts w:ascii="宋体" w:hAnsi="宋体" w:hint="eastAsia"/>
          <w:sz w:val="24"/>
        </w:rPr>
        <w:t>有所下降，但</w:t>
      </w:r>
      <w:r w:rsidR="0093701D">
        <w:rPr>
          <w:rFonts w:ascii="宋体" w:hAnsi="宋体" w:hint="eastAsia"/>
          <w:sz w:val="24"/>
        </w:rPr>
        <w:t>这</w:t>
      </w:r>
      <w:r w:rsidR="004F046C">
        <w:rPr>
          <w:rFonts w:ascii="宋体" w:hAnsi="宋体" w:hint="eastAsia"/>
          <w:sz w:val="24"/>
        </w:rPr>
        <w:t>不代表地产业</w:t>
      </w:r>
      <w:bookmarkStart w:id="0" w:name="_GoBack"/>
      <w:bookmarkEnd w:id="0"/>
      <w:r w:rsidR="00C76D38">
        <w:rPr>
          <w:rFonts w:ascii="宋体" w:hAnsi="宋体" w:hint="eastAsia"/>
          <w:sz w:val="24"/>
        </w:rPr>
        <w:t>的业绩趋势。</w:t>
      </w:r>
    </w:p>
    <w:p w:rsidR="00FD6FBC" w:rsidRPr="00FD6FBC" w:rsidRDefault="00FD6FBC" w:rsidP="00CA34E0">
      <w:pPr>
        <w:spacing w:line="360" w:lineRule="auto"/>
        <w:ind w:firstLineChars="200" w:firstLine="482"/>
        <w:rPr>
          <w:b/>
          <w:sz w:val="24"/>
        </w:rPr>
      </w:pPr>
    </w:p>
    <w:sectPr w:rsidR="00FD6FBC" w:rsidRPr="00FD6FBC" w:rsidSect="004D750E">
      <w:pgSz w:w="11906" w:h="16838"/>
      <w:pgMar w:top="156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91B" w:rsidRDefault="00EA291B" w:rsidP="00CA34E0">
      <w:r>
        <w:separator/>
      </w:r>
    </w:p>
  </w:endnote>
  <w:endnote w:type="continuationSeparator" w:id="0">
    <w:p w:rsidR="00EA291B" w:rsidRDefault="00EA291B" w:rsidP="00CA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91B" w:rsidRDefault="00EA291B" w:rsidP="00CA34E0">
      <w:r>
        <w:separator/>
      </w:r>
    </w:p>
  </w:footnote>
  <w:footnote w:type="continuationSeparator" w:id="0">
    <w:p w:rsidR="00EA291B" w:rsidRDefault="00EA291B" w:rsidP="00CA3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7A"/>
    <w:rsid w:val="00007AD6"/>
    <w:rsid w:val="0002018E"/>
    <w:rsid w:val="000227B6"/>
    <w:rsid w:val="00051220"/>
    <w:rsid w:val="000739C1"/>
    <w:rsid w:val="0007435C"/>
    <w:rsid w:val="00076D58"/>
    <w:rsid w:val="000E6E18"/>
    <w:rsid w:val="000F1A9A"/>
    <w:rsid w:val="00112DED"/>
    <w:rsid w:val="001237C1"/>
    <w:rsid w:val="00124CA5"/>
    <w:rsid w:val="0014173C"/>
    <w:rsid w:val="001C46B6"/>
    <w:rsid w:val="001D0D80"/>
    <w:rsid w:val="001D220B"/>
    <w:rsid w:val="001D4154"/>
    <w:rsid w:val="001D799B"/>
    <w:rsid w:val="002109A2"/>
    <w:rsid w:val="002166AD"/>
    <w:rsid w:val="00225CF4"/>
    <w:rsid w:val="00232D25"/>
    <w:rsid w:val="0023413F"/>
    <w:rsid w:val="00241225"/>
    <w:rsid w:val="00263702"/>
    <w:rsid w:val="002710EF"/>
    <w:rsid w:val="00276737"/>
    <w:rsid w:val="0027710E"/>
    <w:rsid w:val="00295718"/>
    <w:rsid w:val="00297D73"/>
    <w:rsid w:val="002A3903"/>
    <w:rsid w:val="002B2E5C"/>
    <w:rsid w:val="002D553F"/>
    <w:rsid w:val="00305E69"/>
    <w:rsid w:val="00313B48"/>
    <w:rsid w:val="0031507A"/>
    <w:rsid w:val="00342DB1"/>
    <w:rsid w:val="0036273C"/>
    <w:rsid w:val="003716CD"/>
    <w:rsid w:val="003C1707"/>
    <w:rsid w:val="003D541A"/>
    <w:rsid w:val="0042004A"/>
    <w:rsid w:val="00421A1B"/>
    <w:rsid w:val="00454A54"/>
    <w:rsid w:val="004634DF"/>
    <w:rsid w:val="004811A0"/>
    <w:rsid w:val="00494F21"/>
    <w:rsid w:val="004D5FED"/>
    <w:rsid w:val="004D750E"/>
    <w:rsid w:val="004F046C"/>
    <w:rsid w:val="004F0529"/>
    <w:rsid w:val="004F16B8"/>
    <w:rsid w:val="00501B25"/>
    <w:rsid w:val="005712CD"/>
    <w:rsid w:val="005B4873"/>
    <w:rsid w:val="005F4054"/>
    <w:rsid w:val="00602548"/>
    <w:rsid w:val="006506FC"/>
    <w:rsid w:val="0066740D"/>
    <w:rsid w:val="007201BB"/>
    <w:rsid w:val="007309ED"/>
    <w:rsid w:val="00732A45"/>
    <w:rsid w:val="00766A0D"/>
    <w:rsid w:val="00781396"/>
    <w:rsid w:val="007B5190"/>
    <w:rsid w:val="007C58B4"/>
    <w:rsid w:val="007F5DBC"/>
    <w:rsid w:val="007F7422"/>
    <w:rsid w:val="008049BD"/>
    <w:rsid w:val="008141A1"/>
    <w:rsid w:val="00814A1F"/>
    <w:rsid w:val="0083535C"/>
    <w:rsid w:val="008C3A67"/>
    <w:rsid w:val="008F6904"/>
    <w:rsid w:val="009036D1"/>
    <w:rsid w:val="00920D9B"/>
    <w:rsid w:val="00921255"/>
    <w:rsid w:val="0093701D"/>
    <w:rsid w:val="00950B3C"/>
    <w:rsid w:val="00956B97"/>
    <w:rsid w:val="00970384"/>
    <w:rsid w:val="00974952"/>
    <w:rsid w:val="009B44AC"/>
    <w:rsid w:val="009D0487"/>
    <w:rsid w:val="009D0F2A"/>
    <w:rsid w:val="00A023B0"/>
    <w:rsid w:val="00A742AC"/>
    <w:rsid w:val="00A802D8"/>
    <w:rsid w:val="00A81C56"/>
    <w:rsid w:val="00AE10D7"/>
    <w:rsid w:val="00AF2229"/>
    <w:rsid w:val="00B14243"/>
    <w:rsid w:val="00B20E61"/>
    <w:rsid w:val="00B241BD"/>
    <w:rsid w:val="00B31466"/>
    <w:rsid w:val="00B81DEE"/>
    <w:rsid w:val="00BA7B5D"/>
    <w:rsid w:val="00BD763C"/>
    <w:rsid w:val="00C14D73"/>
    <w:rsid w:val="00C169B6"/>
    <w:rsid w:val="00C62280"/>
    <w:rsid w:val="00C76D38"/>
    <w:rsid w:val="00C83C42"/>
    <w:rsid w:val="00C87BE9"/>
    <w:rsid w:val="00CA34E0"/>
    <w:rsid w:val="00CA6739"/>
    <w:rsid w:val="00CA6EFD"/>
    <w:rsid w:val="00CC7105"/>
    <w:rsid w:val="00D205D0"/>
    <w:rsid w:val="00D46E01"/>
    <w:rsid w:val="00D826C8"/>
    <w:rsid w:val="00DB7E6E"/>
    <w:rsid w:val="00DD4A59"/>
    <w:rsid w:val="00E237CB"/>
    <w:rsid w:val="00E35461"/>
    <w:rsid w:val="00E40205"/>
    <w:rsid w:val="00E55F97"/>
    <w:rsid w:val="00E668A5"/>
    <w:rsid w:val="00E73113"/>
    <w:rsid w:val="00E968EC"/>
    <w:rsid w:val="00EA291B"/>
    <w:rsid w:val="00EB11D8"/>
    <w:rsid w:val="00ED047C"/>
    <w:rsid w:val="00ED536C"/>
    <w:rsid w:val="00ED6BE3"/>
    <w:rsid w:val="00EF20DA"/>
    <w:rsid w:val="00EF7126"/>
    <w:rsid w:val="00F04724"/>
    <w:rsid w:val="00F12AEF"/>
    <w:rsid w:val="00F55D7B"/>
    <w:rsid w:val="00F71647"/>
    <w:rsid w:val="00F724CB"/>
    <w:rsid w:val="00F91EF3"/>
    <w:rsid w:val="00FC4DE2"/>
    <w:rsid w:val="00FD5827"/>
    <w:rsid w:val="00FD6FBC"/>
    <w:rsid w:val="00FE55EA"/>
    <w:rsid w:val="00FF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BA527"/>
  <w15:chartTrackingRefBased/>
  <w15:docId w15:val="{6FA81A8A-9C89-45B6-812D-2B41F32C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D6F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34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3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34E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A6EF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A6EF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7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李季</dc:creator>
  <cp:keywords/>
  <dc:description/>
  <cp:lastModifiedBy>李季</cp:lastModifiedBy>
  <cp:revision>29</cp:revision>
  <cp:lastPrinted>2017-03-01T05:08:00Z</cp:lastPrinted>
  <dcterms:created xsi:type="dcterms:W3CDTF">2016-12-14T05:15:00Z</dcterms:created>
  <dcterms:modified xsi:type="dcterms:W3CDTF">2017-03-01T06:24:00Z</dcterms:modified>
</cp:coreProperties>
</file>