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111885" w:rsidRDefault="00EE1C10" w:rsidP="00ED5922">
      <w:pPr>
        <w:spacing w:beforeLines="50" w:afterLines="50" w:line="400" w:lineRule="exact"/>
        <w:rPr>
          <w:rFonts w:ascii="Arial" w:hAnsi="Arial"/>
          <w:bCs/>
          <w:iCs/>
          <w:color w:val="000000"/>
          <w:sz w:val="24"/>
        </w:rPr>
      </w:pPr>
      <w:r w:rsidRPr="00111885">
        <w:rPr>
          <w:rFonts w:ascii="Arial" w:hAnsiTheme="minorEastAsia" w:hint="eastAsia"/>
          <w:bCs/>
          <w:iCs/>
          <w:color w:val="000000"/>
          <w:sz w:val="24"/>
        </w:rPr>
        <w:t>证券代码：</w:t>
      </w:r>
      <w:r w:rsidRPr="00111885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111885">
        <w:rPr>
          <w:rFonts w:ascii="Arial" w:hAnsiTheme="minorEastAsia" w:hint="eastAsia"/>
          <w:bCs/>
          <w:iCs/>
          <w:color w:val="000000"/>
          <w:sz w:val="24"/>
        </w:rPr>
        <w:t>证券简称：</w:t>
      </w:r>
      <w:r w:rsidR="00D96584" w:rsidRPr="00111885">
        <w:rPr>
          <w:rFonts w:ascii="Arial" w:hAnsiTheme="minorEastAsia" w:hint="eastAsia"/>
          <w:bCs/>
          <w:iCs/>
          <w:color w:val="000000"/>
          <w:sz w:val="24"/>
        </w:rPr>
        <w:t>平安银行</w:t>
      </w:r>
    </w:p>
    <w:p w:rsidR="00EE1C10" w:rsidRPr="00111885" w:rsidRDefault="003317E5" w:rsidP="00ED5922">
      <w:pPr>
        <w:spacing w:beforeLines="50" w:afterLines="50" w:line="400" w:lineRule="exact"/>
        <w:jc w:val="center"/>
        <w:rPr>
          <w:rFonts w:ascii="Arial" w:hAnsi="Arial"/>
          <w:b/>
          <w:bCs/>
          <w:iCs/>
          <w:color w:val="000000"/>
          <w:sz w:val="24"/>
        </w:rPr>
      </w:pPr>
      <w:r w:rsidRPr="00111885">
        <w:rPr>
          <w:rFonts w:ascii="Arial" w:hAnsiTheme="minorEastAsia" w:hint="eastAsia"/>
          <w:b/>
          <w:bCs/>
          <w:iCs/>
          <w:color w:val="000000"/>
          <w:sz w:val="24"/>
        </w:rPr>
        <w:t>平安</w:t>
      </w:r>
      <w:r w:rsidR="00EE1C10" w:rsidRPr="00111885">
        <w:rPr>
          <w:rFonts w:ascii="Arial" w:hAnsiTheme="minorEastAsia" w:hint="eastAsia"/>
          <w:b/>
          <w:bCs/>
          <w:iCs/>
          <w:color w:val="000000"/>
          <w:sz w:val="24"/>
        </w:rPr>
        <w:t>银行股份有限公司投资者关系活动记录表</w:t>
      </w:r>
    </w:p>
    <w:p w:rsidR="00EE1C10" w:rsidRPr="00111885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111885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111885">
        <w:rPr>
          <w:rFonts w:ascii="Arial" w:hAnsiTheme="minorEastAsia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CA5B7A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特定对象调研</w:t>
            </w:r>
            <w:r w:rsidR="00EE1C10" w:rsidRPr="00111885">
              <w:rPr>
                <w:rFonts w:ascii="Arial" w:hAnsi="Arial" w:hint="eastAsia"/>
                <w:sz w:val="24"/>
              </w:rPr>
              <w:t xml:space="preserve">        </w:t>
            </w:r>
            <w:r w:rsidR="00EE1C10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分析师会议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媒体采访</w:t>
            </w:r>
            <w:r w:rsidRPr="00111885">
              <w:rPr>
                <w:rFonts w:ascii="Arial" w:hAnsi="Arial" w:hint="eastAsia"/>
                <w:sz w:val="24"/>
              </w:rPr>
              <w:t xml:space="preserve">            </w:t>
            </w:r>
            <w:r w:rsidR="00FF0263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7B53AA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Pr="00111885">
              <w:rPr>
                <w:rFonts w:ascii="Arial" w:hAnsiTheme="minorEastAsia" w:hint="eastAsia"/>
                <w:sz w:val="24"/>
              </w:rPr>
              <w:t>业绩说明会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新闻发布会</w:t>
            </w:r>
            <w:r w:rsidRPr="00111885">
              <w:rPr>
                <w:rFonts w:ascii="Arial" w:hAnsi="Arial" w:hint="eastAsia"/>
                <w:sz w:val="24"/>
              </w:rPr>
              <w:t xml:space="preserve">          </w:t>
            </w:r>
            <w:r w:rsidR="007B53AA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路演活动</w:t>
            </w:r>
          </w:p>
          <w:p w:rsidR="00EE1C10" w:rsidRPr="00111885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111885">
              <w:rPr>
                <w:rFonts w:ascii="Arial" w:hAnsiTheme="minorEastAsia" w:hint="eastAsia"/>
                <w:sz w:val="24"/>
              </w:rPr>
              <w:t>现场参观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111885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111885">
              <w:rPr>
                <w:rFonts w:ascii="Arial" w:hAnsiTheme="minorEastAsia" w:hint="eastAsia"/>
                <w:sz w:val="24"/>
              </w:rPr>
              <w:t>其他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7B53AA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国内外分析师及投资者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43629D" w:rsidP="004661F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8A0A92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</w:t>
            </w:r>
            <w:r w:rsidR="004661F6">
              <w:rPr>
                <w:rFonts w:ascii="Arial" w:hAnsi="Arial" w:hint="eastAsia"/>
                <w:bCs/>
                <w:iCs/>
                <w:color w:val="000000"/>
                <w:sz w:val="24"/>
              </w:rPr>
              <w:t>10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月</w:t>
            </w:r>
            <w:r w:rsidR="004661F6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31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7B53AA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CA5B7A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AA" w:rsidRPr="004661F6" w:rsidRDefault="007B53AA" w:rsidP="007B53AA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</w:t>
            </w:r>
            <w:r w:rsidRPr="004661F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提问</w:t>
            </w:r>
          </w:p>
          <w:p w:rsidR="004661F6" w:rsidRPr="004661F6" w:rsidRDefault="004661F6" w:rsidP="004661F6">
            <w:pPr>
              <w:pStyle w:val="30"/>
              <w:numPr>
                <w:ilvl w:val="0"/>
                <w:numId w:val="13"/>
              </w:numPr>
              <w:tabs>
                <w:tab w:val="clear" w:pos="540"/>
                <w:tab w:val="left" w:pos="0"/>
              </w:tabs>
              <w:spacing w:beforeLines="150" w:after="156"/>
              <w:jc w:val="both"/>
              <w:outlineLvl w:val="2"/>
              <w:rPr>
                <w:rFonts w:asciiTheme="minorEastAsia" w:eastAsiaTheme="minorEastAsia" w:hAnsiTheme="minorEastAsia"/>
                <w:szCs w:val="24"/>
              </w:rPr>
            </w:pPr>
            <w:bookmarkStart w:id="0" w:name="_Toc448833286"/>
            <w:bookmarkStart w:id="1" w:name="_Toc458425958"/>
            <w:bookmarkStart w:id="2" w:name="_Toc464590895"/>
            <w:bookmarkStart w:id="3" w:name="_Toc464720571"/>
            <w:r w:rsidRPr="004661F6">
              <w:rPr>
                <w:rFonts w:asciiTheme="minorEastAsia" w:eastAsiaTheme="minorEastAsia" w:hAnsiTheme="minorEastAsia"/>
                <w:szCs w:val="24"/>
              </w:rPr>
              <w:t>净利润增长的动力？</w:t>
            </w:r>
            <w:bookmarkEnd w:id="0"/>
            <w:bookmarkEnd w:id="1"/>
            <w:bookmarkEnd w:id="2"/>
            <w:bookmarkEnd w:id="3"/>
          </w:p>
          <w:p w:rsidR="004661F6" w:rsidRPr="004661F6" w:rsidRDefault="004661F6" w:rsidP="004661F6">
            <w:pPr>
              <w:adjustRightInd w:val="0"/>
              <w:snapToGrid w:val="0"/>
              <w:spacing w:afterLines="20"/>
              <w:ind w:firstLineChars="200" w:firstLine="400"/>
              <w:rPr>
                <w:rStyle w:val="a7"/>
                <w:rFonts w:asciiTheme="minorEastAsia" w:eastAsiaTheme="minorEastAsia" w:hAnsiTheme="minorEastAsia"/>
                <w:smallCaps/>
                <w:szCs w:val="20"/>
              </w:rPr>
            </w:pPr>
            <w:r w:rsidRPr="004661F6">
              <w:rPr>
                <w:rStyle w:val="a7"/>
                <w:rFonts w:asciiTheme="minorEastAsia" w:eastAsiaTheme="minorEastAsia" w:hAnsiTheme="minorEastAsia"/>
              </w:rPr>
              <w:t>我行净利润同比增长5.52%，主要驱动因素来自于收入提升和投产效率提高：</w:t>
            </w:r>
          </w:p>
          <w:p w:rsidR="004661F6" w:rsidRPr="004661F6" w:rsidRDefault="004661F6" w:rsidP="004661F6">
            <w:pPr>
              <w:adjustRightInd w:val="0"/>
              <w:snapToGrid w:val="0"/>
              <w:spacing w:afterLines="20"/>
              <w:ind w:firstLineChars="200" w:firstLine="400"/>
              <w:rPr>
                <w:rStyle w:val="a7"/>
                <w:rFonts w:asciiTheme="minorEastAsia" w:eastAsiaTheme="minorEastAsia" w:hAnsiTheme="minorEastAsia"/>
              </w:rPr>
            </w:pPr>
            <w:r w:rsidRPr="004661F6">
              <w:rPr>
                <w:rStyle w:val="a7"/>
                <w:rFonts w:asciiTheme="minorEastAsia" w:eastAsiaTheme="minorEastAsia" w:hAnsiTheme="minorEastAsia"/>
              </w:rPr>
              <w:t>1）持续加大风险定价管理，提高资源使用效率，有效改善贷款结构，在央行数次降息影响下，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我行</w:t>
            </w:r>
            <w:r w:rsidRPr="004661F6">
              <w:rPr>
                <w:rStyle w:val="a7"/>
                <w:rFonts w:asciiTheme="minorEastAsia" w:eastAsiaTheme="minorEastAsia" w:hAnsiTheme="minorEastAsia"/>
              </w:rPr>
              <w:t>加大资产、负债结构调整，优化控制负债成本，净利差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同比分别</w:t>
            </w:r>
            <w:r w:rsidRPr="004661F6">
              <w:rPr>
                <w:rStyle w:val="a7"/>
                <w:rFonts w:asciiTheme="minorEastAsia" w:eastAsiaTheme="minorEastAsia" w:hAnsiTheme="minorEastAsia"/>
              </w:rPr>
              <w:t>提升0.03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个百分点，净息差保持稳定，</w:t>
            </w:r>
            <w:r w:rsidRPr="004661F6">
              <w:rPr>
                <w:rStyle w:val="a7"/>
                <w:rFonts w:asciiTheme="minorEastAsia" w:eastAsiaTheme="minorEastAsia" w:hAnsiTheme="minorEastAsia"/>
              </w:rPr>
              <w:t>利息净收入同比增幅13.19%；</w:t>
            </w:r>
          </w:p>
          <w:p w:rsidR="004661F6" w:rsidRPr="004661F6" w:rsidRDefault="004661F6" w:rsidP="004661F6">
            <w:pPr>
              <w:adjustRightInd w:val="0"/>
              <w:snapToGrid w:val="0"/>
              <w:spacing w:afterLines="20"/>
              <w:ind w:firstLineChars="200" w:firstLine="400"/>
              <w:rPr>
                <w:rStyle w:val="a7"/>
                <w:rFonts w:asciiTheme="minorEastAsia" w:eastAsiaTheme="minorEastAsia" w:hAnsiTheme="minorEastAsia"/>
              </w:rPr>
            </w:pPr>
            <w:r w:rsidRPr="004661F6">
              <w:rPr>
                <w:rStyle w:val="a7"/>
                <w:rFonts w:asciiTheme="minorEastAsia" w:eastAsiaTheme="minorEastAsia" w:hAnsiTheme="minorEastAsia"/>
              </w:rPr>
              <w:t>2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）继续坚持综合金融发展战略，顺应国家新经济形势变化不断推动我行转型升级，加强产品与服务创新，提升综合服务能力，非利息净收入同比增幅</w:t>
            </w:r>
            <w:r w:rsidRPr="004661F6">
              <w:rPr>
                <w:rStyle w:val="a7"/>
                <w:rFonts w:asciiTheme="minorEastAsia" w:eastAsiaTheme="minorEastAsia" w:hAnsiTheme="minorEastAsia"/>
              </w:rPr>
              <w:t>19.43%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；</w:t>
            </w:r>
          </w:p>
          <w:p w:rsidR="004661F6" w:rsidRPr="004661F6" w:rsidRDefault="004661F6" w:rsidP="004661F6">
            <w:pPr>
              <w:adjustRightInd w:val="0"/>
              <w:snapToGrid w:val="0"/>
              <w:spacing w:afterLines="20"/>
              <w:ind w:firstLineChars="200" w:firstLine="400"/>
              <w:rPr>
                <w:rStyle w:val="a7"/>
                <w:rFonts w:asciiTheme="minorEastAsia" w:eastAsiaTheme="minorEastAsia" w:hAnsiTheme="minorEastAsia"/>
              </w:rPr>
            </w:pPr>
            <w:r w:rsidRPr="004661F6">
              <w:rPr>
                <w:rStyle w:val="a7"/>
                <w:rFonts w:asciiTheme="minorEastAsia" w:eastAsiaTheme="minorEastAsia" w:hAnsiTheme="minorEastAsia"/>
              </w:rPr>
              <w:t>3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）推行成本精细化管理，全行费用增幅低于收入增幅，投产效率持续改善，</w:t>
            </w:r>
            <w:r w:rsidRPr="004661F6">
              <w:rPr>
                <w:rStyle w:val="a7"/>
                <w:rFonts w:asciiTheme="minorEastAsia" w:eastAsiaTheme="minorEastAsia" w:hAnsiTheme="minorEastAsia"/>
              </w:rPr>
              <w:t>1-9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月成本收入比</w:t>
            </w:r>
            <w:r w:rsidRPr="004661F6">
              <w:rPr>
                <w:rStyle w:val="a7"/>
                <w:rFonts w:asciiTheme="minorEastAsia" w:eastAsiaTheme="minorEastAsia" w:hAnsiTheme="minorEastAsia"/>
              </w:rPr>
              <w:t>27.70%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，同比下降</w:t>
            </w:r>
            <w:r w:rsidRPr="004661F6">
              <w:rPr>
                <w:rStyle w:val="a7"/>
                <w:rFonts w:asciiTheme="minorEastAsia" w:eastAsiaTheme="minorEastAsia" w:hAnsiTheme="minorEastAsia"/>
              </w:rPr>
              <w:t>4.44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个百分点，较</w:t>
            </w:r>
            <w:r w:rsidRPr="004661F6">
              <w:rPr>
                <w:rStyle w:val="a7"/>
                <w:rFonts w:asciiTheme="minorEastAsia" w:eastAsiaTheme="minorEastAsia" w:hAnsiTheme="minorEastAsia"/>
              </w:rPr>
              <w:t>2015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年度下降</w:t>
            </w:r>
            <w:r w:rsidRPr="004661F6">
              <w:rPr>
                <w:rStyle w:val="a7"/>
                <w:rFonts w:asciiTheme="minorEastAsia" w:eastAsiaTheme="minorEastAsia" w:hAnsiTheme="minorEastAsia"/>
              </w:rPr>
              <w:t>3.61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个百分点。</w:t>
            </w:r>
          </w:p>
          <w:p w:rsidR="004661F6" w:rsidRPr="004661F6" w:rsidRDefault="004661F6" w:rsidP="004661F6">
            <w:pPr>
              <w:adjustRightInd w:val="0"/>
              <w:snapToGrid w:val="0"/>
              <w:spacing w:afterLines="20"/>
              <w:ind w:firstLineChars="200" w:firstLine="400"/>
              <w:rPr>
                <w:rStyle w:val="a7"/>
                <w:rFonts w:asciiTheme="minorEastAsia" w:eastAsiaTheme="minorEastAsia" w:hAnsiTheme="minorEastAsia"/>
              </w:rPr>
            </w:pP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另外，我行一贯坚持稳健经营策略，重视资产质量管理，在持续两年拨备计提翻番的情况下，</w:t>
            </w:r>
            <w:r w:rsidRPr="004661F6">
              <w:rPr>
                <w:rStyle w:val="a7"/>
                <w:rFonts w:asciiTheme="minorEastAsia" w:eastAsiaTheme="minorEastAsia" w:hAnsiTheme="minorEastAsia"/>
              </w:rPr>
              <w:t>2016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年</w:t>
            </w:r>
            <w:r w:rsidRPr="004661F6">
              <w:rPr>
                <w:rStyle w:val="a7"/>
                <w:rFonts w:asciiTheme="minorEastAsia" w:eastAsiaTheme="minorEastAsia" w:hAnsiTheme="minorEastAsia"/>
              </w:rPr>
              <w:t>1-9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月继续加大拨备计提力度，同比增幅</w:t>
            </w:r>
            <w:r w:rsidRPr="004661F6">
              <w:rPr>
                <w:rStyle w:val="a7"/>
                <w:rFonts w:asciiTheme="minorEastAsia" w:eastAsiaTheme="minorEastAsia" w:hAnsiTheme="minorEastAsia"/>
              </w:rPr>
              <w:t>59%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，提高全行风险抵御能力。</w:t>
            </w:r>
          </w:p>
          <w:p w:rsidR="007B53AA" w:rsidRPr="004661F6" w:rsidRDefault="007B53AA" w:rsidP="007B53AA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</w:p>
          <w:p w:rsidR="004661F6" w:rsidRPr="004661F6" w:rsidRDefault="004661F6" w:rsidP="004661F6">
            <w:pPr>
              <w:pStyle w:val="30"/>
              <w:numPr>
                <w:ilvl w:val="0"/>
                <w:numId w:val="13"/>
              </w:numPr>
              <w:tabs>
                <w:tab w:val="clear" w:pos="540"/>
                <w:tab w:val="left" w:pos="0"/>
              </w:tabs>
              <w:spacing w:beforeLines="150" w:after="156"/>
              <w:jc w:val="both"/>
              <w:outlineLvl w:val="2"/>
              <w:rPr>
                <w:rFonts w:asciiTheme="minorEastAsia" w:eastAsiaTheme="minorEastAsia" w:hAnsiTheme="minorEastAsia"/>
                <w:szCs w:val="24"/>
              </w:rPr>
            </w:pPr>
            <w:bookmarkStart w:id="4" w:name="_Toc464590896"/>
            <w:bookmarkStart w:id="5" w:name="_Toc464720572"/>
            <w:r w:rsidRPr="004661F6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资产和负债</w:t>
            </w:r>
            <w:proofErr w:type="gramStart"/>
            <w:r w:rsidRPr="004661F6">
              <w:rPr>
                <w:rFonts w:asciiTheme="minorEastAsia" w:eastAsiaTheme="minorEastAsia" w:hAnsiTheme="minorEastAsia" w:hint="eastAsia"/>
                <w:szCs w:val="24"/>
              </w:rPr>
              <w:t>规模环</w:t>
            </w:r>
            <w:proofErr w:type="gramEnd"/>
            <w:r w:rsidRPr="004661F6">
              <w:rPr>
                <w:rFonts w:asciiTheme="minorEastAsia" w:eastAsiaTheme="minorEastAsia" w:hAnsiTheme="minorEastAsia" w:hint="eastAsia"/>
                <w:szCs w:val="24"/>
              </w:rPr>
              <w:t>比下降的原因及未来趋势</w:t>
            </w:r>
            <w:r w:rsidRPr="004661F6">
              <w:rPr>
                <w:rFonts w:asciiTheme="minorEastAsia" w:eastAsiaTheme="minorEastAsia" w:hAnsiTheme="minorEastAsia"/>
                <w:szCs w:val="24"/>
              </w:rPr>
              <w:t>?</w:t>
            </w:r>
            <w:bookmarkEnd w:id="4"/>
            <w:bookmarkEnd w:id="5"/>
          </w:p>
          <w:p w:rsidR="004661F6" w:rsidRPr="004661F6" w:rsidRDefault="004661F6" w:rsidP="004661F6">
            <w:pPr>
              <w:adjustRightInd w:val="0"/>
              <w:snapToGrid w:val="0"/>
              <w:spacing w:afterLines="20"/>
              <w:ind w:firstLineChars="200" w:firstLine="400"/>
              <w:rPr>
                <w:rStyle w:val="a7"/>
                <w:rFonts w:asciiTheme="minorEastAsia" w:eastAsiaTheme="minorEastAsia" w:hAnsiTheme="minorEastAsia" w:cstheme="majorBidi"/>
                <w:b/>
                <w:bCs/>
                <w:sz w:val="24"/>
                <w:szCs w:val="32"/>
              </w:rPr>
            </w:pP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前三季度我行存贷款规模保持稳步增长，同时，为满足央行</w:t>
            </w:r>
            <w:r w:rsidRPr="004661F6">
              <w:rPr>
                <w:rStyle w:val="a7"/>
                <w:rFonts w:asciiTheme="minorEastAsia" w:eastAsiaTheme="minorEastAsia" w:hAnsiTheme="minorEastAsia"/>
              </w:rPr>
              <w:t>MPA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要求，我行主动压缩了同业资产负债规模。</w:t>
            </w:r>
          </w:p>
          <w:p w:rsidR="004661F6" w:rsidRPr="004661F6" w:rsidRDefault="004661F6" w:rsidP="004661F6">
            <w:pPr>
              <w:adjustRightInd w:val="0"/>
              <w:snapToGrid w:val="0"/>
              <w:spacing w:afterLines="20"/>
              <w:ind w:firstLineChars="200" w:firstLine="400"/>
              <w:rPr>
                <w:rStyle w:val="a7"/>
                <w:rFonts w:asciiTheme="minorEastAsia" w:eastAsiaTheme="minorEastAsia" w:hAnsiTheme="minorEastAsia" w:cstheme="majorBidi"/>
                <w:b/>
                <w:bCs/>
                <w:sz w:val="24"/>
                <w:szCs w:val="32"/>
              </w:rPr>
            </w:pP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未来我行将根据市场环境和监管要求，进一步优化资产负债结构，加强资产与负债的匹配管理，提高表内资产盈利能力。</w:t>
            </w:r>
          </w:p>
          <w:p w:rsidR="004661F6" w:rsidRPr="004661F6" w:rsidRDefault="004661F6" w:rsidP="004661F6">
            <w:pPr>
              <w:pStyle w:val="30"/>
              <w:numPr>
                <w:ilvl w:val="0"/>
                <w:numId w:val="13"/>
              </w:numPr>
              <w:tabs>
                <w:tab w:val="clear" w:pos="540"/>
                <w:tab w:val="left" w:pos="0"/>
              </w:tabs>
              <w:spacing w:beforeLines="150" w:after="156"/>
              <w:jc w:val="both"/>
              <w:outlineLvl w:val="2"/>
              <w:rPr>
                <w:rFonts w:asciiTheme="minorEastAsia" w:eastAsiaTheme="minorEastAsia" w:hAnsiTheme="minorEastAsia"/>
              </w:rPr>
            </w:pPr>
            <w:bookmarkStart w:id="6" w:name="_Toc464590920"/>
            <w:bookmarkStart w:id="7" w:name="_Toc464720594"/>
            <w:r w:rsidRPr="004661F6">
              <w:rPr>
                <w:rFonts w:asciiTheme="minorEastAsia" w:eastAsiaTheme="minorEastAsia" w:hAnsiTheme="minorEastAsia"/>
                <w:szCs w:val="24"/>
              </w:rPr>
              <w:t>不良贷款增长原因分析及未来趋势？</w:t>
            </w:r>
            <w:bookmarkEnd w:id="6"/>
            <w:bookmarkEnd w:id="7"/>
            <w:r w:rsidRPr="004661F6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  <w:p w:rsidR="004661F6" w:rsidRPr="004661F6" w:rsidRDefault="004661F6" w:rsidP="004661F6">
            <w:pPr>
              <w:adjustRightInd w:val="0"/>
              <w:snapToGrid w:val="0"/>
              <w:spacing w:afterLines="20"/>
              <w:ind w:firstLine="420"/>
              <w:rPr>
                <w:rStyle w:val="a7"/>
                <w:rFonts w:asciiTheme="minorEastAsia" w:eastAsiaTheme="minorEastAsia" w:hAnsiTheme="minorEastAsia" w:cs="Arial"/>
                <w:szCs w:val="20"/>
              </w:rPr>
            </w:pP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受经济增速放缓、产业结构调整升级的深入推进等影响，部分贸易企业、低端制造业和民营中小企业出现经营困难、资金链紧张、断裂、无力还款等情况，我行资产质量受到一定影响，不良贷款较年初有所增加。截至报告期末，我行不良率</w:t>
            </w:r>
            <w:r w:rsidRPr="004661F6">
              <w:rPr>
                <w:rStyle w:val="a7"/>
                <w:rFonts w:asciiTheme="minorEastAsia" w:eastAsiaTheme="minorEastAsia" w:hAnsiTheme="minorEastAsia" w:cs="Arial" w:hint="eastAsia"/>
              </w:rPr>
              <w:t>1.56</w:t>
            </w:r>
            <w:r w:rsidRPr="004661F6">
              <w:rPr>
                <w:rStyle w:val="a7"/>
                <w:rFonts w:asciiTheme="minorEastAsia" w:eastAsiaTheme="minorEastAsia" w:hAnsiTheme="minorEastAsia" w:cs="Arial"/>
              </w:rPr>
              <w:t>%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，低于行业平均水平。</w:t>
            </w:r>
          </w:p>
          <w:p w:rsidR="004661F6" w:rsidRPr="004661F6" w:rsidRDefault="004661F6" w:rsidP="004661F6">
            <w:pPr>
              <w:pStyle w:val="30"/>
              <w:numPr>
                <w:ilvl w:val="0"/>
                <w:numId w:val="13"/>
              </w:numPr>
              <w:tabs>
                <w:tab w:val="clear" w:pos="540"/>
                <w:tab w:val="left" w:pos="0"/>
              </w:tabs>
              <w:spacing w:beforeLines="150" w:after="156"/>
              <w:jc w:val="both"/>
              <w:outlineLvl w:val="2"/>
              <w:rPr>
                <w:rFonts w:asciiTheme="minorEastAsia" w:eastAsiaTheme="minorEastAsia" w:hAnsiTheme="minorEastAsia"/>
                <w:szCs w:val="24"/>
              </w:rPr>
            </w:pPr>
            <w:bookmarkStart w:id="8" w:name="_Toc464590966"/>
            <w:bookmarkStart w:id="9" w:name="_Toc464720628"/>
            <w:r w:rsidRPr="004661F6">
              <w:rPr>
                <w:rFonts w:asciiTheme="minorEastAsia" w:eastAsiaTheme="minorEastAsia" w:hAnsiTheme="minorEastAsia" w:hint="eastAsia"/>
                <w:szCs w:val="24"/>
              </w:rPr>
              <w:t>贵行零售业务的主要经营成果</w:t>
            </w:r>
            <w:bookmarkEnd w:id="8"/>
            <w:bookmarkEnd w:id="9"/>
          </w:p>
          <w:p w:rsidR="004661F6" w:rsidRPr="004661F6" w:rsidRDefault="004661F6" w:rsidP="004661F6">
            <w:pPr>
              <w:adjustRightInd w:val="0"/>
              <w:snapToGrid w:val="0"/>
              <w:spacing w:afterLines="20"/>
              <w:ind w:firstLine="420"/>
              <w:rPr>
                <w:rStyle w:val="a7"/>
                <w:rFonts w:asciiTheme="minorEastAsia" w:eastAsiaTheme="minorEastAsia" w:hAnsiTheme="minorEastAsia" w:cs="Arial"/>
              </w:rPr>
            </w:pP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过去三年多，平安银行零售基础得到夯实，业绩稳步增长：截至报告期末，财富及以上客户数从2012年末的11.9万增长至32.8万，增速高达176%；管理客户资产从2012年末的2,652亿增长至7,607亿，增速为186%；与此同时，存贷款余额也有了快速的发展，其中存款余额为2,819亿，较2012年末增速为56%，贷款余额增长至4,821亿，增速高达113%；同样，信用卡也凭借其优势在全国范围内迅速扩张，总流通卡量增长至2,426万，较2012年末增速为120%；总交易金额高达8,211亿，较2012年末增速为276%。</w:t>
            </w:r>
          </w:p>
          <w:p w:rsidR="004661F6" w:rsidRPr="004661F6" w:rsidRDefault="004661F6" w:rsidP="004661F6">
            <w:pPr>
              <w:adjustRightInd w:val="0"/>
              <w:snapToGrid w:val="0"/>
              <w:spacing w:afterLines="20"/>
              <w:ind w:firstLine="420"/>
              <w:rPr>
                <w:rStyle w:val="a7"/>
                <w:rFonts w:asciiTheme="minorEastAsia" w:eastAsiaTheme="minorEastAsia" w:hAnsiTheme="minorEastAsia" w:cs="Arial"/>
              </w:rPr>
            </w:pP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同时，零售“打基础”工作稳步推进，六大能力得到显著提升：</w:t>
            </w:r>
            <w:r w:rsidRPr="004661F6">
              <w:rPr>
                <w:rStyle w:val="a7"/>
                <w:rFonts w:asciiTheme="minorEastAsia" w:eastAsiaTheme="minorEastAsia" w:hAnsiTheme="minorEastAsia" w:cs="Arial"/>
              </w:rPr>
              <w:t>1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、专业的人做专业的事情，人均产能快速提升。</w:t>
            </w:r>
            <w:r w:rsidRPr="004661F6">
              <w:rPr>
                <w:rStyle w:val="a7"/>
                <w:rFonts w:asciiTheme="minorEastAsia" w:eastAsiaTheme="minorEastAsia" w:hAnsiTheme="minorEastAsia" w:cs="Arial"/>
              </w:rPr>
              <w:t>2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、服务能力得到优化，客户满意度稳步提升</w:t>
            </w:r>
            <w:r w:rsidRPr="004661F6">
              <w:rPr>
                <w:rStyle w:val="a7"/>
                <w:rFonts w:asciiTheme="minorEastAsia" w:eastAsiaTheme="minorEastAsia" w:hAnsiTheme="minorEastAsia" w:cs="Arial"/>
              </w:rPr>
              <w:t>3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、产品种类与数量日益丰富。</w:t>
            </w:r>
            <w:r w:rsidRPr="004661F6">
              <w:rPr>
                <w:rStyle w:val="a7"/>
                <w:rFonts w:asciiTheme="minorEastAsia" w:eastAsiaTheme="minorEastAsia" w:hAnsiTheme="minorEastAsia" w:cs="Arial"/>
              </w:rPr>
              <w:t>4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、搭建全渠道获客平台，分层客户经营体系。</w:t>
            </w:r>
            <w:r w:rsidRPr="004661F6">
              <w:rPr>
                <w:rStyle w:val="a7"/>
                <w:rFonts w:asciiTheme="minorEastAsia" w:eastAsiaTheme="minorEastAsia" w:hAnsiTheme="minorEastAsia" w:cs="Arial"/>
              </w:rPr>
              <w:t>5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、人财物管理机制不断完善，客户迁徙平台日趋成熟。</w:t>
            </w:r>
            <w:r w:rsidRPr="004661F6">
              <w:rPr>
                <w:rStyle w:val="a7"/>
                <w:rFonts w:asciiTheme="minorEastAsia" w:eastAsiaTheme="minorEastAsia" w:hAnsiTheme="minorEastAsia" w:cs="Arial"/>
              </w:rPr>
              <w:t>6</w:t>
            </w:r>
            <w:r w:rsidRPr="004661F6">
              <w:rPr>
                <w:rStyle w:val="a7"/>
                <w:rFonts w:asciiTheme="minorEastAsia" w:eastAsiaTheme="minorEastAsia" w:hAnsiTheme="minorEastAsia" w:hint="eastAsia"/>
              </w:rPr>
              <w:t>、系统平台持续升级，有效支持业务前线。</w:t>
            </w:r>
          </w:p>
          <w:p w:rsidR="00D230C1" w:rsidRPr="007B53AA" w:rsidRDefault="00D230C1" w:rsidP="00ED5922">
            <w:pPr>
              <w:adjustRightInd w:val="0"/>
              <w:snapToGrid w:val="0"/>
              <w:spacing w:beforeLines="50"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 w:eastAsia="zh-TW"/>
              </w:rPr>
            </w:pPr>
          </w:p>
          <w:p w:rsidR="00EE1C10" w:rsidRPr="00111885" w:rsidRDefault="00D230C1" w:rsidP="008A0A9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团体接待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未签署《承诺书》。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217D1A" w:rsidP="004661F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4661F6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</w:t>
            </w:r>
            <w:r w:rsidR="004661F6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三季度</w:t>
            </w: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业绩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（请参见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D87038"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111885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11885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11885" w:rsidRDefault="00761259" w:rsidP="004661F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4E09D8">
              <w:rPr>
                <w:rFonts w:ascii="Arial" w:hAnsi="Arial"/>
                <w:bCs/>
                <w:iCs/>
                <w:color w:val="000000"/>
                <w:sz w:val="24"/>
              </w:rPr>
              <w:t>6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4661F6">
              <w:rPr>
                <w:rFonts w:ascii="Arial" w:hAnsi="Arial" w:hint="eastAsia"/>
                <w:bCs/>
                <w:iCs/>
                <w:color w:val="000000"/>
                <w:sz w:val="24"/>
              </w:rPr>
              <w:t>10</w:t>
            </w:r>
            <w:r w:rsidRPr="00111885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4661F6">
              <w:rPr>
                <w:rFonts w:ascii="Arial" w:hAnsi="Arial" w:hint="eastAsia"/>
                <w:bCs/>
                <w:iCs/>
                <w:color w:val="000000"/>
                <w:sz w:val="24"/>
              </w:rPr>
              <w:t>31</w:t>
            </w:r>
          </w:p>
        </w:tc>
      </w:tr>
    </w:tbl>
    <w:p w:rsidR="00EE1C10" w:rsidRPr="00111885" w:rsidRDefault="00EE1C10" w:rsidP="00EE1C10">
      <w:pPr>
        <w:jc w:val="center"/>
        <w:rPr>
          <w:rFonts w:ascii="Arial" w:hAnsi="Arial"/>
          <w:sz w:val="24"/>
        </w:rPr>
      </w:pPr>
    </w:p>
    <w:p w:rsidR="00941F1C" w:rsidRPr="00111885" w:rsidRDefault="00941F1C">
      <w:pPr>
        <w:rPr>
          <w:rFonts w:ascii="Arial" w:hAnsi="Arial"/>
          <w:sz w:val="24"/>
        </w:rPr>
      </w:pPr>
    </w:p>
    <w:sectPr w:rsidR="00941F1C" w:rsidRPr="00111885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D6" w:rsidRDefault="00FA14D6" w:rsidP="00D96584">
      <w:r>
        <w:separator/>
      </w:r>
    </w:p>
  </w:endnote>
  <w:endnote w:type="continuationSeparator" w:id="0">
    <w:p w:rsidR="00FA14D6" w:rsidRDefault="00FA14D6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D6" w:rsidRDefault="00FA14D6" w:rsidP="00D96584">
      <w:r>
        <w:separator/>
      </w:r>
    </w:p>
  </w:footnote>
  <w:footnote w:type="continuationSeparator" w:id="0">
    <w:p w:rsidR="00FA14D6" w:rsidRDefault="00FA14D6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D16322"/>
    <w:multiLevelType w:val="hybridMultilevel"/>
    <w:tmpl w:val="7F64928A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B9006C5"/>
    <w:multiLevelType w:val="hybridMultilevel"/>
    <w:tmpl w:val="7F2E6DD4"/>
    <w:lvl w:ilvl="0" w:tplc="E4FC31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0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2718D"/>
    <w:rsid w:val="000B3693"/>
    <w:rsid w:val="00101C48"/>
    <w:rsid w:val="00111885"/>
    <w:rsid w:val="00130F3C"/>
    <w:rsid w:val="0015474D"/>
    <w:rsid w:val="0015535F"/>
    <w:rsid w:val="00193F77"/>
    <w:rsid w:val="001B28D3"/>
    <w:rsid w:val="001B33AC"/>
    <w:rsid w:val="001B72DE"/>
    <w:rsid w:val="001D2529"/>
    <w:rsid w:val="001E2C63"/>
    <w:rsid w:val="00217D1A"/>
    <w:rsid w:val="003317E5"/>
    <w:rsid w:val="0036587E"/>
    <w:rsid w:val="003B107D"/>
    <w:rsid w:val="003B721F"/>
    <w:rsid w:val="0043629D"/>
    <w:rsid w:val="004661F6"/>
    <w:rsid w:val="004B47B1"/>
    <w:rsid w:val="004E09D8"/>
    <w:rsid w:val="0051123B"/>
    <w:rsid w:val="00535D6F"/>
    <w:rsid w:val="00550FD9"/>
    <w:rsid w:val="00622C3A"/>
    <w:rsid w:val="00623A26"/>
    <w:rsid w:val="0063326E"/>
    <w:rsid w:val="006A1753"/>
    <w:rsid w:val="006C008C"/>
    <w:rsid w:val="006F64B3"/>
    <w:rsid w:val="00761259"/>
    <w:rsid w:val="007B53AA"/>
    <w:rsid w:val="007C7A86"/>
    <w:rsid w:val="008710F9"/>
    <w:rsid w:val="00890C7B"/>
    <w:rsid w:val="008A0A92"/>
    <w:rsid w:val="008A4E3E"/>
    <w:rsid w:val="00921892"/>
    <w:rsid w:val="00941F1C"/>
    <w:rsid w:val="00951547"/>
    <w:rsid w:val="00975DA9"/>
    <w:rsid w:val="009E745D"/>
    <w:rsid w:val="009F13CD"/>
    <w:rsid w:val="00A06297"/>
    <w:rsid w:val="00A140B8"/>
    <w:rsid w:val="00A234EE"/>
    <w:rsid w:val="00A23D7B"/>
    <w:rsid w:val="00AB67BB"/>
    <w:rsid w:val="00AC6FAF"/>
    <w:rsid w:val="00AF4A55"/>
    <w:rsid w:val="00B31C4E"/>
    <w:rsid w:val="00B52A06"/>
    <w:rsid w:val="00B84A84"/>
    <w:rsid w:val="00BA2067"/>
    <w:rsid w:val="00BB09B4"/>
    <w:rsid w:val="00BB741D"/>
    <w:rsid w:val="00BE11BC"/>
    <w:rsid w:val="00C35BCB"/>
    <w:rsid w:val="00C51768"/>
    <w:rsid w:val="00C81677"/>
    <w:rsid w:val="00CA5B7A"/>
    <w:rsid w:val="00CB4AC9"/>
    <w:rsid w:val="00D230C1"/>
    <w:rsid w:val="00D8302A"/>
    <w:rsid w:val="00D87038"/>
    <w:rsid w:val="00D96584"/>
    <w:rsid w:val="00E733AB"/>
    <w:rsid w:val="00ED5922"/>
    <w:rsid w:val="00EE1C10"/>
    <w:rsid w:val="00EE4F68"/>
    <w:rsid w:val="00EE4F97"/>
    <w:rsid w:val="00EE7C01"/>
    <w:rsid w:val="00F16F75"/>
    <w:rsid w:val="00FA14D6"/>
    <w:rsid w:val="00FE4AFD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customStyle="1" w:styleId="Default">
    <w:name w:val="Default"/>
    <w:rsid w:val="001B28D3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  <w:style w:type="character" w:styleId="a7">
    <w:name w:val="page number"/>
    <w:uiPriority w:val="99"/>
    <w:rsid w:val="004661F6"/>
    <w:rPr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1327</Characters>
  <Application>Microsoft Office Word</Application>
  <DocSecurity>0</DocSecurity>
  <Lines>11</Lines>
  <Paragraphs>3</Paragraphs>
  <ScaleCrop>false</ScaleCrop>
  <Company>sdb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2017-02-07T03:05:00Z</dcterms:created>
  <dcterms:modified xsi:type="dcterms:W3CDTF">2017-02-07T03:10:00Z</dcterms:modified>
</cp:coreProperties>
</file>