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2515C0" w:rsidRDefault="00EE1C10" w:rsidP="00197FFA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2515C0" w:rsidRDefault="003317E5" w:rsidP="00197FFA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2515C0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FF0263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2515C0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2515C0" w:rsidRDefault="002515C0" w:rsidP="00217D1A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（投行会议）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375010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/>
                <w:szCs w:val="21"/>
              </w:rPr>
              <w:t>券商、基金等各类投资者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43629D" w:rsidP="008B3ED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8B3ED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11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8B3ED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8B3EDE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8B3EDE" w:rsidRPr="00452630" w:rsidRDefault="008B3EDE" w:rsidP="008B3EDE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bookmarkStart w:id="0" w:name="_Toc458425953"/>
            <w:bookmarkStart w:id="1" w:name="_Toc464590883"/>
            <w:bookmarkStart w:id="2" w:name="_Toc464720553"/>
            <w:bookmarkStart w:id="3" w:name="_Toc448833273"/>
            <w:r w:rsidRPr="00452630">
              <w:rPr>
                <w:szCs w:val="24"/>
              </w:rPr>
              <w:t>贵行综合金融成果</w:t>
            </w:r>
            <w:bookmarkEnd w:id="0"/>
            <w:bookmarkEnd w:id="1"/>
            <w:bookmarkEnd w:id="2"/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0"/>
              <w:rPr>
                <w:rStyle w:val="a8"/>
                <w:rFonts w:ascii="Arial" w:hAnsi="Arial" w:cs="仿宋_GB2312"/>
                <w:smallCaps/>
                <w:szCs w:val="20"/>
              </w:rPr>
            </w:pPr>
            <w:r w:rsidRPr="00452630">
              <w:rPr>
                <w:rStyle w:val="a8"/>
                <w:rFonts w:ascii="Arial" w:hAnsi="Arial" w:cs="仿宋_GB2312" w:hint="eastAsia"/>
              </w:rPr>
              <w:t>季报未公布综合金融成果，截至</w:t>
            </w:r>
            <w:r w:rsidRPr="00452630">
              <w:rPr>
                <w:rStyle w:val="a8"/>
                <w:rFonts w:ascii="Arial" w:hAnsi="Arial" w:cs="仿宋_GB2312" w:hint="eastAsia"/>
              </w:rPr>
              <w:t>2016</w:t>
            </w:r>
            <w:r w:rsidRPr="00452630">
              <w:rPr>
                <w:rStyle w:val="a8"/>
                <w:rFonts w:ascii="Arial" w:hAnsi="Arial" w:cs="仿宋_GB2312" w:hint="eastAsia"/>
              </w:rPr>
              <w:t>年上半年末，我行综拓成果如下：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2"/>
              <w:rPr>
                <w:rStyle w:val="a8"/>
                <w:rFonts w:ascii="Arial" w:hAnsi="Arial" w:cs="仿宋_GB2312"/>
                <w:smallCaps/>
                <w:szCs w:val="20"/>
              </w:rPr>
            </w:pPr>
            <w:r w:rsidRPr="00452630">
              <w:rPr>
                <w:rStyle w:val="a8"/>
                <w:rFonts w:ascii="Arial" w:hAnsi="Arial" w:cs="仿宋_GB2312" w:hint="eastAsia"/>
                <w:b/>
              </w:rPr>
              <w:t>【对公综拓】：</w:t>
            </w:r>
            <w:r w:rsidRPr="00452630">
              <w:rPr>
                <w:rStyle w:val="a8"/>
                <w:rFonts w:ascii="Arial" w:hAnsi="Arial" w:cs="仿宋_GB2312" w:hint="eastAsia"/>
              </w:rPr>
              <w:t>对公综拓存款年日均</w:t>
            </w:r>
            <w:r w:rsidRPr="00452630">
              <w:rPr>
                <w:rStyle w:val="a8"/>
                <w:rFonts w:ascii="Arial" w:hAnsi="Arial" w:cs="仿宋_GB2312"/>
              </w:rPr>
              <w:t>499.6</w:t>
            </w:r>
            <w:r w:rsidRPr="00452630">
              <w:rPr>
                <w:rStyle w:val="a8"/>
                <w:rFonts w:ascii="Arial" w:hAnsi="Arial" w:cs="仿宋_GB2312" w:hint="eastAsia"/>
              </w:rPr>
              <w:t>亿元，较上年全年增幅</w:t>
            </w:r>
            <w:r w:rsidRPr="00452630">
              <w:rPr>
                <w:rStyle w:val="a8"/>
                <w:rFonts w:ascii="Arial" w:hAnsi="Arial" w:cs="仿宋_GB2312"/>
              </w:rPr>
              <w:t>62%</w:t>
            </w:r>
            <w:r w:rsidRPr="00452630">
              <w:rPr>
                <w:rStyle w:val="a8"/>
                <w:rFonts w:ascii="Arial" w:hAnsi="Arial" w:cs="仿宋_GB2312" w:hint="eastAsia"/>
              </w:rPr>
              <w:t>；实现营业收入</w:t>
            </w:r>
            <w:r w:rsidRPr="00452630">
              <w:rPr>
                <w:rStyle w:val="a8"/>
                <w:rFonts w:ascii="Arial" w:hAnsi="Arial" w:cs="仿宋_GB2312"/>
              </w:rPr>
              <w:t>9.61</w:t>
            </w:r>
            <w:r w:rsidRPr="00452630">
              <w:rPr>
                <w:rStyle w:val="a8"/>
                <w:rFonts w:ascii="Arial" w:hAnsi="Arial" w:cs="仿宋_GB2312" w:hint="eastAsia"/>
              </w:rPr>
              <w:t>亿元（其中非利息净收入</w:t>
            </w:r>
            <w:r w:rsidRPr="00452630">
              <w:rPr>
                <w:rStyle w:val="a8"/>
                <w:rFonts w:ascii="Arial" w:hAnsi="Arial" w:cs="仿宋_GB2312"/>
              </w:rPr>
              <w:t>3.7</w:t>
            </w:r>
            <w:r w:rsidRPr="00452630">
              <w:rPr>
                <w:rStyle w:val="a8"/>
                <w:rFonts w:ascii="Arial" w:hAnsi="Arial" w:cs="仿宋_GB2312" w:hint="eastAsia"/>
              </w:rPr>
              <w:t>亿元），其中，本行与平安集团投资系列合作收入</w:t>
            </w:r>
            <w:r w:rsidRPr="00452630">
              <w:rPr>
                <w:rStyle w:val="a8"/>
                <w:rFonts w:ascii="Arial" w:hAnsi="Arial" w:cs="仿宋_GB2312"/>
              </w:rPr>
              <w:t>7.19</w:t>
            </w:r>
            <w:r w:rsidRPr="00452630">
              <w:rPr>
                <w:rStyle w:val="a8"/>
                <w:rFonts w:ascii="Arial" w:hAnsi="Arial" w:cs="仿宋_GB2312" w:hint="eastAsia"/>
              </w:rPr>
              <w:t>亿元，产险和养老险推银行业务实现收入</w:t>
            </w:r>
            <w:r w:rsidRPr="00452630">
              <w:rPr>
                <w:rStyle w:val="a8"/>
                <w:rFonts w:ascii="Arial" w:hAnsi="Arial" w:cs="仿宋_GB2312"/>
              </w:rPr>
              <w:t>2.42</w:t>
            </w:r>
            <w:r w:rsidRPr="00452630">
              <w:rPr>
                <w:rStyle w:val="a8"/>
                <w:rFonts w:ascii="Arial" w:hAnsi="Arial" w:cs="仿宋_GB2312" w:hint="eastAsia"/>
              </w:rPr>
              <w:t>亿元，本行代理保费规模</w:t>
            </w:r>
            <w:r w:rsidRPr="00452630">
              <w:rPr>
                <w:rStyle w:val="a8"/>
                <w:rFonts w:ascii="Arial" w:hAnsi="Arial" w:cs="仿宋_GB2312"/>
              </w:rPr>
              <w:t>1.40</w:t>
            </w:r>
            <w:r w:rsidRPr="00452630">
              <w:rPr>
                <w:rStyle w:val="a8"/>
                <w:rFonts w:ascii="Arial" w:hAnsi="Arial" w:cs="仿宋_GB2312" w:hint="eastAsia"/>
              </w:rPr>
              <w:t>亿元、同比增长</w:t>
            </w:r>
            <w:r w:rsidRPr="00452630">
              <w:rPr>
                <w:rStyle w:val="a8"/>
                <w:rFonts w:ascii="Arial" w:hAnsi="Arial" w:cs="仿宋_GB2312"/>
              </w:rPr>
              <w:t>88%</w:t>
            </w:r>
            <w:r w:rsidRPr="00452630">
              <w:rPr>
                <w:rStyle w:val="a8"/>
                <w:rFonts w:ascii="Arial" w:hAnsi="Arial" w:cs="仿宋_GB2312" w:hint="eastAsia"/>
              </w:rPr>
              <w:t>。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2"/>
              <w:rPr>
                <w:rStyle w:val="a8"/>
                <w:rFonts w:ascii="Arial" w:hAnsi="Arial" w:cs="仿宋_GB2312"/>
                <w:smallCaps/>
                <w:szCs w:val="20"/>
              </w:rPr>
            </w:pPr>
            <w:r w:rsidRPr="00452630">
              <w:rPr>
                <w:rStyle w:val="a8"/>
                <w:rFonts w:ascii="Arial" w:hAnsi="Arial" w:cs="仿宋_GB2312" w:hint="eastAsia"/>
                <w:b/>
              </w:rPr>
              <w:t>【零售综拓】：</w:t>
            </w:r>
            <w:r w:rsidRPr="00452630">
              <w:rPr>
                <w:rStyle w:val="a8"/>
                <w:rFonts w:ascii="Arial" w:hAnsi="Arial" w:cs="仿宋_GB2312" w:hint="eastAsia"/>
              </w:rPr>
              <w:t>综拓渠道新增迁徙客户</w:t>
            </w:r>
            <w:r w:rsidRPr="00452630">
              <w:rPr>
                <w:rStyle w:val="a8"/>
                <w:rFonts w:ascii="Arial" w:hAnsi="Arial" w:cs="仿宋_GB2312"/>
              </w:rPr>
              <w:t>50</w:t>
            </w:r>
            <w:r w:rsidRPr="00452630">
              <w:rPr>
                <w:rStyle w:val="a8"/>
                <w:rFonts w:ascii="Arial" w:hAnsi="Arial" w:cs="仿宋_GB2312" w:hint="eastAsia"/>
              </w:rPr>
              <w:t>万，财富客户较年初增加</w:t>
            </w:r>
            <w:r w:rsidRPr="00452630">
              <w:rPr>
                <w:rStyle w:val="a8"/>
                <w:rFonts w:ascii="Arial" w:hAnsi="Arial" w:cs="仿宋_GB2312"/>
              </w:rPr>
              <w:t>1.14</w:t>
            </w:r>
            <w:r w:rsidRPr="00452630">
              <w:rPr>
                <w:rStyle w:val="a8"/>
                <w:rFonts w:ascii="Arial" w:hAnsi="Arial" w:cs="仿宋_GB2312" w:hint="eastAsia"/>
              </w:rPr>
              <w:t>万户，客户资产增加</w:t>
            </w:r>
            <w:r w:rsidRPr="00452630">
              <w:rPr>
                <w:rStyle w:val="a8"/>
                <w:rFonts w:ascii="Arial" w:hAnsi="Arial" w:cs="仿宋_GB2312"/>
              </w:rPr>
              <w:t>238</w:t>
            </w:r>
            <w:r w:rsidRPr="00452630">
              <w:rPr>
                <w:rStyle w:val="a8"/>
                <w:rFonts w:ascii="Arial" w:hAnsi="Arial" w:cs="仿宋_GB2312" w:hint="eastAsia"/>
              </w:rPr>
              <w:t>亿元，新获客户均资产继续大幅提升，对全行的新增客户、财富客户数和资产贡献度占比分别达</w:t>
            </w:r>
            <w:r w:rsidRPr="00452630">
              <w:rPr>
                <w:rStyle w:val="a8"/>
                <w:rFonts w:ascii="Arial" w:hAnsi="Arial" w:cs="仿宋_GB2312"/>
              </w:rPr>
              <w:t>14%</w:t>
            </w:r>
            <w:r w:rsidRPr="00452630">
              <w:rPr>
                <w:rStyle w:val="a8"/>
                <w:rFonts w:ascii="Arial" w:hAnsi="Arial" w:cs="仿宋_GB2312" w:hint="eastAsia"/>
              </w:rPr>
              <w:t>、</w:t>
            </w:r>
            <w:r w:rsidRPr="00452630">
              <w:rPr>
                <w:rStyle w:val="a8"/>
                <w:rFonts w:ascii="Arial" w:hAnsi="Arial" w:cs="仿宋_GB2312"/>
              </w:rPr>
              <w:t>35%</w:t>
            </w:r>
            <w:r w:rsidRPr="00452630">
              <w:rPr>
                <w:rStyle w:val="a8"/>
                <w:rFonts w:ascii="Arial" w:hAnsi="Arial" w:cs="仿宋_GB2312" w:hint="eastAsia"/>
              </w:rPr>
              <w:t>和</w:t>
            </w:r>
            <w:r w:rsidRPr="00452630">
              <w:rPr>
                <w:rStyle w:val="a8"/>
                <w:rFonts w:ascii="Arial" w:hAnsi="Arial" w:cs="仿宋_GB2312"/>
              </w:rPr>
              <w:t>42%</w:t>
            </w:r>
            <w:r w:rsidRPr="00452630">
              <w:rPr>
                <w:rStyle w:val="a8"/>
                <w:rFonts w:ascii="Arial" w:hAnsi="Arial" w:cs="仿宋_GB2312" w:hint="eastAsia"/>
              </w:rPr>
              <w:t>；信用卡成为集团旗下兄弟公司获客的有力产品，通过交叉销售渠道获客占新增发卡量的约</w:t>
            </w:r>
            <w:r w:rsidRPr="00452630">
              <w:rPr>
                <w:rStyle w:val="a8"/>
                <w:rFonts w:ascii="Arial" w:hAnsi="Arial" w:cs="仿宋_GB2312"/>
              </w:rPr>
              <w:t>31%</w:t>
            </w:r>
            <w:r w:rsidRPr="00452630">
              <w:rPr>
                <w:rStyle w:val="a8"/>
                <w:rFonts w:ascii="Arial" w:hAnsi="Arial" w:cs="仿宋_GB2312" w:hint="eastAsia"/>
              </w:rPr>
              <w:t>；上半年零售全渠道代销集团保险累计实现非利息净收入</w:t>
            </w:r>
            <w:r w:rsidRPr="00452630">
              <w:rPr>
                <w:rStyle w:val="a8"/>
                <w:rFonts w:ascii="Arial" w:hAnsi="Arial" w:cs="仿宋_GB2312"/>
              </w:rPr>
              <w:t>5.67</w:t>
            </w:r>
            <w:r w:rsidRPr="00452630">
              <w:rPr>
                <w:rStyle w:val="a8"/>
                <w:rFonts w:ascii="Arial" w:hAnsi="Arial" w:cs="仿宋_GB2312" w:hint="eastAsia"/>
              </w:rPr>
              <w:t>亿元，同比增幅</w:t>
            </w:r>
            <w:r w:rsidRPr="00452630">
              <w:rPr>
                <w:rStyle w:val="a8"/>
                <w:rFonts w:ascii="Arial" w:hAnsi="Arial" w:cs="仿宋_GB2312"/>
              </w:rPr>
              <w:t>95%</w:t>
            </w:r>
            <w:r w:rsidRPr="00452630">
              <w:rPr>
                <w:rStyle w:val="a8"/>
                <w:rFonts w:ascii="Arial" w:hAnsi="Arial" w:cs="仿宋_GB2312" w:hint="eastAsia"/>
              </w:rPr>
              <w:t>，其中分行和汽车金融渠道分别实现保险非利息净收入</w:t>
            </w:r>
            <w:r w:rsidRPr="00452630">
              <w:rPr>
                <w:rStyle w:val="a8"/>
                <w:rFonts w:ascii="Arial" w:hAnsi="Arial" w:cs="仿宋_GB2312"/>
              </w:rPr>
              <w:t>2.3</w:t>
            </w:r>
            <w:r w:rsidRPr="00452630">
              <w:rPr>
                <w:rStyle w:val="a8"/>
                <w:rFonts w:ascii="Arial" w:hAnsi="Arial" w:cs="仿宋_GB2312" w:hint="eastAsia"/>
              </w:rPr>
              <w:t>亿、</w:t>
            </w:r>
            <w:r w:rsidRPr="00452630">
              <w:rPr>
                <w:rStyle w:val="a8"/>
                <w:rFonts w:ascii="Arial" w:hAnsi="Arial" w:cs="仿宋_GB2312"/>
              </w:rPr>
              <w:t>2.2</w:t>
            </w:r>
            <w:r w:rsidRPr="00452630">
              <w:rPr>
                <w:rStyle w:val="a8"/>
                <w:rFonts w:ascii="Arial" w:hAnsi="Arial" w:cs="仿宋_GB2312" w:hint="eastAsia"/>
              </w:rPr>
              <w:t>亿，同比增长达</w:t>
            </w:r>
            <w:r w:rsidRPr="00452630">
              <w:rPr>
                <w:rStyle w:val="a8"/>
                <w:rFonts w:ascii="Arial" w:hAnsi="Arial" w:cs="仿宋_GB2312"/>
              </w:rPr>
              <w:t>98%</w:t>
            </w:r>
            <w:r w:rsidRPr="00452630">
              <w:rPr>
                <w:rStyle w:val="a8"/>
                <w:rFonts w:ascii="Arial" w:hAnsi="Arial" w:cs="仿宋_GB2312" w:hint="eastAsia"/>
              </w:rPr>
              <w:t>和</w:t>
            </w:r>
            <w:r w:rsidRPr="00452630">
              <w:rPr>
                <w:rStyle w:val="a8"/>
                <w:rFonts w:ascii="Arial" w:hAnsi="Arial" w:cs="仿宋_GB2312"/>
              </w:rPr>
              <w:t>242%</w:t>
            </w:r>
            <w:r w:rsidRPr="00452630">
              <w:rPr>
                <w:rStyle w:val="a8"/>
                <w:rFonts w:ascii="Arial" w:hAnsi="Arial" w:cs="仿宋_GB2312" w:hint="eastAsia"/>
              </w:rPr>
              <w:t>；深化与券商合作，深化“银证</w:t>
            </w:r>
            <w:r w:rsidRPr="00452630">
              <w:rPr>
                <w:rStyle w:val="a8"/>
                <w:rFonts w:ascii="Arial" w:hAnsi="Arial" w:cs="仿宋_GB2312"/>
              </w:rPr>
              <w:t>e</w:t>
            </w:r>
            <w:r w:rsidRPr="00452630">
              <w:rPr>
                <w:rStyle w:val="a8"/>
                <w:rFonts w:ascii="Arial" w:hAnsi="Arial" w:cs="仿宋_GB2312" w:hint="eastAsia"/>
              </w:rPr>
              <w:t>家”差异化三方存管业务品牌内涵，新推证券保证金理财直购功能，上半年新签约平安证券三方存管客户</w:t>
            </w:r>
            <w:r w:rsidRPr="00452630">
              <w:rPr>
                <w:rStyle w:val="a8"/>
                <w:rFonts w:ascii="Arial" w:hAnsi="Arial" w:cs="仿宋_GB2312"/>
              </w:rPr>
              <w:t>28.2</w:t>
            </w:r>
            <w:r w:rsidRPr="00452630">
              <w:rPr>
                <w:rStyle w:val="a8"/>
                <w:rFonts w:ascii="Arial" w:hAnsi="Arial" w:cs="仿宋_GB2312" w:hint="eastAsia"/>
              </w:rPr>
              <w:t>万户。</w:t>
            </w:r>
          </w:p>
          <w:p w:rsidR="008B3EDE" w:rsidRPr="00452630" w:rsidRDefault="008B3EDE" w:rsidP="008B3EDE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bookmarkStart w:id="4" w:name="_Toc464590889"/>
            <w:bookmarkStart w:id="5" w:name="_Toc464720557"/>
            <w:bookmarkEnd w:id="3"/>
            <w:r w:rsidRPr="00452630">
              <w:rPr>
                <w:rFonts w:hint="eastAsia"/>
                <w:szCs w:val="24"/>
              </w:rPr>
              <w:lastRenderedPageBreak/>
              <w:t>未来资本规划</w:t>
            </w:r>
            <w:bookmarkEnd w:id="4"/>
            <w:bookmarkEnd w:id="5"/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/>
                <w:smallCaps/>
                <w:szCs w:val="20"/>
              </w:rPr>
            </w:pPr>
            <w:r w:rsidRPr="00452630">
              <w:rPr>
                <w:rStyle w:val="a8"/>
                <w:rFonts w:ascii="Arial" w:hAnsi="Arial" w:hint="eastAsia"/>
              </w:rPr>
              <w:t>我行在</w:t>
            </w:r>
            <w:r w:rsidRPr="00452630">
              <w:rPr>
                <w:rStyle w:val="a8"/>
                <w:rFonts w:ascii="Arial" w:hAnsi="Arial"/>
              </w:rPr>
              <w:t>2015</w:t>
            </w:r>
            <w:r w:rsidRPr="00452630">
              <w:rPr>
                <w:rStyle w:val="a8"/>
                <w:rFonts w:ascii="Arial" w:hAnsi="Arial" w:hint="eastAsia"/>
              </w:rPr>
              <w:t>年和</w:t>
            </w:r>
            <w:r w:rsidRPr="00452630">
              <w:rPr>
                <w:rStyle w:val="a8"/>
                <w:rFonts w:ascii="Arial" w:hAnsi="Arial"/>
              </w:rPr>
              <w:t>2016</w:t>
            </w:r>
            <w:r w:rsidRPr="00452630">
              <w:rPr>
                <w:rStyle w:val="a8"/>
                <w:rFonts w:ascii="Arial" w:hAnsi="Arial" w:hint="eastAsia"/>
              </w:rPr>
              <w:t>年通过定增、优先股、二级债等手段补充资本后，目前资本充足率各项指标符合监管要求。未来，随着央行</w:t>
            </w:r>
            <w:r w:rsidRPr="00452630">
              <w:rPr>
                <w:rStyle w:val="a8"/>
                <w:rFonts w:ascii="Arial" w:hAnsi="Arial"/>
              </w:rPr>
              <w:t>MPA</w:t>
            </w:r>
            <w:r w:rsidRPr="00452630">
              <w:rPr>
                <w:rStyle w:val="a8"/>
                <w:rFonts w:ascii="Arial" w:hAnsi="Arial" w:hint="eastAsia"/>
              </w:rPr>
              <w:t>监管体系的实施，以及银行自身业务的发展和零售战略转型的需要，我行将在保障现有股东权益的前提下，提前做好资本规划、加强资本工具创新研究、科学运用多种手段、合理推动资本补充。但是目前尚无应披露而未披露的信息。</w:t>
            </w:r>
          </w:p>
          <w:p w:rsidR="008B3EDE" w:rsidRPr="00452630" w:rsidRDefault="008B3EDE" w:rsidP="008B3EDE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bookmarkStart w:id="6" w:name="_Toc448833286"/>
            <w:bookmarkStart w:id="7" w:name="_Toc458425958"/>
            <w:bookmarkStart w:id="8" w:name="_Toc464590895"/>
            <w:bookmarkStart w:id="9" w:name="_Toc464720571"/>
            <w:r w:rsidRPr="00452630">
              <w:rPr>
                <w:szCs w:val="24"/>
              </w:rPr>
              <w:t>净利润增长的动力？</w:t>
            </w:r>
            <w:bookmarkEnd w:id="6"/>
            <w:bookmarkEnd w:id="7"/>
            <w:bookmarkEnd w:id="8"/>
            <w:bookmarkEnd w:id="9"/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0"/>
              <w:rPr>
                <w:rStyle w:val="a8"/>
                <w:rFonts w:ascii="Arial" w:hAnsi="Arial"/>
                <w:smallCaps/>
                <w:szCs w:val="20"/>
              </w:rPr>
            </w:pPr>
            <w:r w:rsidRPr="00452630">
              <w:rPr>
                <w:rStyle w:val="a8"/>
                <w:rFonts w:ascii="Arial" w:hAnsi="Arial"/>
              </w:rPr>
              <w:t>我行净利润同比增长</w:t>
            </w:r>
            <w:r w:rsidRPr="00452630">
              <w:rPr>
                <w:rStyle w:val="a8"/>
                <w:rFonts w:ascii="Arial" w:hAnsi="Arial"/>
              </w:rPr>
              <w:t>5.52%</w:t>
            </w:r>
            <w:r w:rsidRPr="00452630">
              <w:rPr>
                <w:rStyle w:val="a8"/>
                <w:rFonts w:ascii="Arial" w:hAnsi="Arial"/>
              </w:rPr>
              <w:t>，主要驱动因素来自于收入提升和投产效率提高：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0"/>
              <w:rPr>
                <w:rStyle w:val="a8"/>
                <w:rFonts w:ascii="Arial" w:hAnsi="Arial"/>
              </w:rPr>
            </w:pPr>
            <w:r w:rsidRPr="00452630">
              <w:rPr>
                <w:rStyle w:val="a8"/>
                <w:rFonts w:ascii="Arial" w:hAnsi="Arial"/>
              </w:rPr>
              <w:t>1</w:t>
            </w:r>
            <w:r w:rsidRPr="00452630">
              <w:rPr>
                <w:rStyle w:val="a8"/>
                <w:rFonts w:ascii="Arial" w:hAnsi="Arial"/>
              </w:rPr>
              <w:t>）持续加大风险定价管理，提高资源使用效率，有效改善贷款结构，在央行数次降息影响下，</w:t>
            </w:r>
            <w:r w:rsidRPr="00452630">
              <w:rPr>
                <w:rStyle w:val="a8"/>
                <w:rFonts w:ascii="Arial" w:hAnsi="Arial" w:hint="eastAsia"/>
              </w:rPr>
              <w:t>我行</w:t>
            </w:r>
            <w:r w:rsidRPr="00452630">
              <w:rPr>
                <w:rStyle w:val="a8"/>
                <w:rFonts w:ascii="Arial" w:hAnsi="Arial"/>
              </w:rPr>
              <w:t>加大资产、负债结构调整，优化控制负债成本，净利差</w:t>
            </w:r>
            <w:r w:rsidRPr="00452630">
              <w:rPr>
                <w:rStyle w:val="a8"/>
                <w:rFonts w:ascii="Arial" w:hAnsi="Arial" w:hint="eastAsia"/>
              </w:rPr>
              <w:t>同比分别</w:t>
            </w:r>
            <w:r w:rsidRPr="00452630">
              <w:rPr>
                <w:rStyle w:val="a8"/>
                <w:rFonts w:ascii="Arial" w:hAnsi="Arial"/>
              </w:rPr>
              <w:t>提升</w:t>
            </w:r>
            <w:r w:rsidRPr="00452630">
              <w:rPr>
                <w:rStyle w:val="a8"/>
                <w:rFonts w:ascii="Arial" w:hAnsi="Arial"/>
              </w:rPr>
              <w:t>0.03</w:t>
            </w:r>
            <w:r w:rsidRPr="00452630">
              <w:rPr>
                <w:rStyle w:val="a8"/>
                <w:rFonts w:ascii="Arial" w:hAnsi="Arial" w:hint="eastAsia"/>
              </w:rPr>
              <w:t>个百分点，净息差保持稳定，</w:t>
            </w:r>
            <w:r w:rsidRPr="00452630">
              <w:rPr>
                <w:rStyle w:val="a8"/>
                <w:rFonts w:ascii="Arial" w:hAnsi="Arial"/>
              </w:rPr>
              <w:t>利息净收入同比增幅</w:t>
            </w:r>
            <w:r w:rsidRPr="00452630">
              <w:rPr>
                <w:rStyle w:val="a8"/>
                <w:rFonts w:ascii="Arial" w:hAnsi="Arial"/>
              </w:rPr>
              <w:t>13.19%</w:t>
            </w:r>
            <w:r w:rsidRPr="00452630">
              <w:rPr>
                <w:rStyle w:val="a8"/>
                <w:rFonts w:ascii="Arial" w:hAnsi="Arial"/>
              </w:rPr>
              <w:t>；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0"/>
              <w:rPr>
                <w:rStyle w:val="a8"/>
                <w:rFonts w:ascii="Arial" w:hAnsi="Arial"/>
              </w:rPr>
            </w:pPr>
            <w:r w:rsidRPr="00452630">
              <w:rPr>
                <w:rStyle w:val="a8"/>
                <w:rFonts w:ascii="Arial" w:hAnsi="Arial"/>
              </w:rPr>
              <w:t>2</w:t>
            </w:r>
            <w:r w:rsidRPr="00452630">
              <w:rPr>
                <w:rStyle w:val="a8"/>
                <w:rFonts w:ascii="Arial" w:hAnsi="Arial" w:hint="eastAsia"/>
              </w:rPr>
              <w:t>）继续坚持综合金融发展战略，顺应国家新经济形势变化不断推动我行转型升级，加强产品与服务创新，提升综合服务能力，非利息净收入同比增幅</w:t>
            </w:r>
            <w:r w:rsidRPr="00452630">
              <w:rPr>
                <w:rStyle w:val="a8"/>
                <w:rFonts w:ascii="Arial" w:hAnsi="Arial"/>
              </w:rPr>
              <w:t>19.43%</w:t>
            </w:r>
            <w:r w:rsidRPr="00452630">
              <w:rPr>
                <w:rStyle w:val="a8"/>
                <w:rFonts w:ascii="Arial" w:hAnsi="Arial" w:hint="eastAsia"/>
              </w:rPr>
              <w:t>；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0"/>
              <w:rPr>
                <w:rStyle w:val="a8"/>
                <w:rFonts w:ascii="Arial" w:hAnsi="Arial"/>
              </w:rPr>
            </w:pPr>
            <w:r w:rsidRPr="00452630">
              <w:rPr>
                <w:rStyle w:val="a8"/>
                <w:rFonts w:ascii="Arial" w:hAnsi="Arial"/>
              </w:rPr>
              <w:t>3</w:t>
            </w:r>
            <w:r w:rsidRPr="00452630">
              <w:rPr>
                <w:rStyle w:val="a8"/>
                <w:rFonts w:ascii="Arial" w:hAnsi="Arial" w:hint="eastAsia"/>
              </w:rPr>
              <w:t>）推行成本精细化管理，全行费用增幅低于收入增幅，投产效率持续改善，</w:t>
            </w:r>
            <w:r w:rsidRPr="00452630">
              <w:rPr>
                <w:rStyle w:val="a8"/>
                <w:rFonts w:ascii="Arial" w:hAnsi="Arial"/>
              </w:rPr>
              <w:t>1-9</w:t>
            </w:r>
            <w:r w:rsidRPr="00452630">
              <w:rPr>
                <w:rStyle w:val="a8"/>
                <w:rFonts w:ascii="Arial" w:hAnsi="Arial" w:hint="eastAsia"/>
              </w:rPr>
              <w:t>月成本收入比</w:t>
            </w:r>
            <w:r w:rsidRPr="00452630">
              <w:rPr>
                <w:rStyle w:val="a8"/>
                <w:rFonts w:ascii="Arial" w:hAnsi="Arial"/>
              </w:rPr>
              <w:t>27.70%</w:t>
            </w:r>
            <w:r w:rsidRPr="00452630">
              <w:rPr>
                <w:rStyle w:val="a8"/>
                <w:rFonts w:ascii="Arial" w:hAnsi="Arial" w:hint="eastAsia"/>
              </w:rPr>
              <w:t>，同比下降</w:t>
            </w:r>
            <w:r w:rsidRPr="00452630">
              <w:rPr>
                <w:rStyle w:val="a8"/>
                <w:rFonts w:ascii="Arial" w:hAnsi="Arial"/>
              </w:rPr>
              <w:t>4.44</w:t>
            </w:r>
            <w:r w:rsidRPr="00452630">
              <w:rPr>
                <w:rStyle w:val="a8"/>
                <w:rFonts w:ascii="Arial" w:hAnsi="Arial" w:hint="eastAsia"/>
              </w:rPr>
              <w:t>个百分点，较</w:t>
            </w:r>
            <w:r w:rsidRPr="00452630">
              <w:rPr>
                <w:rStyle w:val="a8"/>
                <w:rFonts w:ascii="Arial" w:hAnsi="Arial"/>
              </w:rPr>
              <w:t>2015</w:t>
            </w:r>
            <w:r w:rsidRPr="00452630">
              <w:rPr>
                <w:rStyle w:val="a8"/>
                <w:rFonts w:ascii="Arial" w:hAnsi="Arial" w:hint="eastAsia"/>
              </w:rPr>
              <w:t>年度下降</w:t>
            </w:r>
            <w:r w:rsidRPr="00452630">
              <w:rPr>
                <w:rStyle w:val="a8"/>
                <w:rFonts w:ascii="Arial" w:hAnsi="Arial"/>
              </w:rPr>
              <w:t>3.61</w:t>
            </w:r>
            <w:r w:rsidRPr="00452630">
              <w:rPr>
                <w:rStyle w:val="a8"/>
                <w:rFonts w:ascii="Arial" w:hAnsi="Arial" w:hint="eastAsia"/>
              </w:rPr>
              <w:t>个百分点。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0"/>
              <w:rPr>
                <w:rStyle w:val="a8"/>
                <w:rFonts w:ascii="Arial" w:hAnsi="Arial"/>
              </w:rPr>
            </w:pPr>
            <w:r w:rsidRPr="00452630">
              <w:rPr>
                <w:rStyle w:val="a8"/>
                <w:rFonts w:ascii="Arial" w:hAnsi="Arial" w:hint="eastAsia"/>
              </w:rPr>
              <w:t>另外，我行一贯坚持稳健经营策略，重视资产质量管理，在持续两年拨备计提翻番的情况下，</w:t>
            </w:r>
            <w:r w:rsidRPr="00452630">
              <w:rPr>
                <w:rStyle w:val="a8"/>
                <w:rFonts w:ascii="Arial" w:hAnsi="Arial"/>
              </w:rPr>
              <w:t>2016</w:t>
            </w:r>
            <w:r w:rsidRPr="00452630">
              <w:rPr>
                <w:rStyle w:val="a8"/>
                <w:rFonts w:ascii="Arial" w:hAnsi="Arial" w:hint="eastAsia"/>
              </w:rPr>
              <w:t>年</w:t>
            </w:r>
            <w:r w:rsidRPr="00452630">
              <w:rPr>
                <w:rStyle w:val="a8"/>
                <w:rFonts w:ascii="Arial" w:hAnsi="Arial"/>
              </w:rPr>
              <w:t>1-9</w:t>
            </w:r>
            <w:r w:rsidRPr="00452630">
              <w:rPr>
                <w:rStyle w:val="a8"/>
                <w:rFonts w:ascii="Arial" w:hAnsi="Arial" w:hint="eastAsia"/>
              </w:rPr>
              <w:t>月继续加大拨备计提力度，同比增幅</w:t>
            </w:r>
            <w:r w:rsidRPr="00452630">
              <w:rPr>
                <w:rStyle w:val="a8"/>
                <w:rFonts w:ascii="Arial" w:hAnsi="Arial"/>
              </w:rPr>
              <w:t>59%</w:t>
            </w:r>
            <w:r w:rsidRPr="00452630">
              <w:rPr>
                <w:rStyle w:val="a8"/>
                <w:rFonts w:ascii="Arial" w:hAnsi="Arial" w:hint="eastAsia"/>
              </w:rPr>
              <w:t>，提高全行风险抵御能力。</w:t>
            </w:r>
          </w:p>
          <w:p w:rsidR="008B3EDE" w:rsidRPr="00452630" w:rsidRDefault="008B3EDE" w:rsidP="008B3EDE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szCs w:val="24"/>
              </w:rPr>
            </w:pPr>
            <w:bookmarkStart w:id="10" w:name="_Toc464720575"/>
            <w:r w:rsidRPr="00452630">
              <w:rPr>
                <w:szCs w:val="24"/>
              </w:rPr>
              <w:t>贵行非</w:t>
            </w:r>
            <w:proofErr w:type="gramStart"/>
            <w:r w:rsidRPr="00452630">
              <w:rPr>
                <w:szCs w:val="24"/>
              </w:rPr>
              <w:t>息收入</w:t>
            </w:r>
            <w:proofErr w:type="gramEnd"/>
            <w:r w:rsidRPr="00452630">
              <w:rPr>
                <w:szCs w:val="24"/>
              </w:rPr>
              <w:t>增长的主要动力？</w:t>
            </w:r>
            <w:bookmarkEnd w:id="10"/>
            <w:r w:rsidRPr="00452630">
              <w:rPr>
                <w:szCs w:val="24"/>
              </w:rPr>
              <w:t xml:space="preserve"> 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  <w:szCs w:val="20"/>
              </w:rPr>
            </w:pPr>
            <w:r w:rsidRPr="00452630">
              <w:rPr>
                <w:rStyle w:val="a8"/>
                <w:rFonts w:ascii="Arial" w:hAnsi="Arial" w:cs="Arial Unicode MS"/>
              </w:rPr>
              <w:t>截至报告期末，</w:t>
            </w:r>
            <w:r w:rsidRPr="00452630">
              <w:rPr>
                <w:rStyle w:val="a8"/>
                <w:rFonts w:ascii="Arial" w:hAnsi="Arial" w:cs="Arial Unicode MS" w:hint="eastAsia"/>
              </w:rPr>
              <w:t>我行实现非利息净收入</w:t>
            </w:r>
            <w:r w:rsidRPr="00452630">
              <w:rPr>
                <w:rStyle w:val="a8"/>
                <w:rFonts w:ascii="Arial" w:hAnsi="Arial" w:cs="Arial Unicode MS" w:hint="eastAsia"/>
              </w:rPr>
              <w:t>274.05</w:t>
            </w:r>
            <w:r w:rsidRPr="00452630">
              <w:rPr>
                <w:rStyle w:val="a8"/>
                <w:rFonts w:ascii="Arial" w:hAnsi="Arial" w:cs="Arial Unicode MS" w:hint="eastAsia"/>
              </w:rPr>
              <w:t>亿元，同比增加</w:t>
            </w:r>
            <w:r w:rsidRPr="00452630">
              <w:rPr>
                <w:rStyle w:val="a8"/>
                <w:rFonts w:ascii="Arial" w:hAnsi="Arial" w:cs="Arial Unicode MS" w:hint="eastAsia"/>
              </w:rPr>
              <w:t>44.59</w:t>
            </w:r>
            <w:r w:rsidRPr="00452630">
              <w:rPr>
                <w:rStyle w:val="a8"/>
                <w:rFonts w:ascii="Arial" w:hAnsi="Arial" w:cs="Arial Unicode MS" w:hint="eastAsia"/>
              </w:rPr>
              <w:t>亿元，增幅</w:t>
            </w:r>
            <w:r w:rsidRPr="00452630">
              <w:rPr>
                <w:rStyle w:val="a8"/>
                <w:rFonts w:ascii="Arial" w:hAnsi="Arial" w:cs="Arial Unicode MS" w:hint="eastAsia"/>
              </w:rPr>
              <w:t>19.43</w:t>
            </w:r>
            <w:r w:rsidRPr="00452630">
              <w:rPr>
                <w:rStyle w:val="a8"/>
                <w:rFonts w:ascii="Arial" w:hAnsi="Arial" w:cs="Arial Unicode MS"/>
              </w:rPr>
              <w:t>%</w:t>
            </w:r>
            <w:r w:rsidRPr="00452630">
              <w:rPr>
                <w:rStyle w:val="a8"/>
                <w:rFonts w:ascii="Arial" w:hAnsi="Arial" w:cs="Arial Unicode MS" w:hint="eastAsia"/>
              </w:rPr>
              <w:t>，非利息净收入占比提升至</w:t>
            </w:r>
            <w:r w:rsidRPr="00452630">
              <w:rPr>
                <w:rStyle w:val="a8"/>
                <w:rFonts w:ascii="Arial" w:hAnsi="Arial" w:cs="Arial Unicode MS" w:hint="eastAsia"/>
              </w:rPr>
              <w:t>33.43</w:t>
            </w:r>
            <w:r w:rsidRPr="00452630">
              <w:rPr>
                <w:rStyle w:val="a8"/>
                <w:rFonts w:ascii="Arial" w:hAnsi="Arial" w:cs="Arial Unicode MS"/>
              </w:rPr>
              <w:t>%</w:t>
            </w:r>
            <w:r w:rsidRPr="00452630">
              <w:rPr>
                <w:rStyle w:val="a8"/>
                <w:rFonts w:ascii="Arial" w:hAnsi="Arial" w:cs="Arial Unicode MS" w:hint="eastAsia"/>
              </w:rPr>
              <w:t>。其中，手续费净收入</w:t>
            </w:r>
            <w:r w:rsidRPr="00452630">
              <w:rPr>
                <w:rStyle w:val="a8"/>
                <w:rFonts w:ascii="Arial" w:hAnsi="Arial" w:cs="Arial Unicode MS" w:hint="eastAsia"/>
              </w:rPr>
              <w:t>241.74</w:t>
            </w:r>
            <w:r w:rsidRPr="00452630">
              <w:rPr>
                <w:rStyle w:val="a8"/>
                <w:rFonts w:ascii="Arial" w:hAnsi="Arial" w:cs="Arial Unicode MS" w:hint="eastAsia"/>
              </w:rPr>
              <w:t>亿元，同比增幅</w:t>
            </w:r>
            <w:r w:rsidRPr="00452630">
              <w:rPr>
                <w:rStyle w:val="a8"/>
                <w:rFonts w:ascii="Arial" w:hAnsi="Arial" w:cs="Arial Unicode MS" w:hint="eastAsia"/>
              </w:rPr>
              <w:t>19.54</w:t>
            </w:r>
            <w:r w:rsidRPr="00452630">
              <w:rPr>
                <w:rStyle w:val="a8"/>
                <w:rFonts w:ascii="Arial" w:hAnsi="Arial" w:cs="Arial Unicode MS"/>
              </w:rPr>
              <w:t>%</w:t>
            </w:r>
            <w:r w:rsidRPr="00452630">
              <w:rPr>
                <w:rStyle w:val="a8"/>
                <w:rFonts w:ascii="Arial" w:hAnsi="Arial" w:cs="Arial Unicode MS" w:hint="eastAsia"/>
              </w:rPr>
              <w:t>，占比提升至</w:t>
            </w:r>
            <w:r w:rsidRPr="00452630">
              <w:rPr>
                <w:rStyle w:val="a8"/>
                <w:rFonts w:ascii="Arial" w:hAnsi="Arial" w:cs="Arial Unicode MS" w:hint="eastAsia"/>
              </w:rPr>
              <w:t>29.49</w:t>
            </w:r>
            <w:r w:rsidRPr="00452630">
              <w:rPr>
                <w:rStyle w:val="a8"/>
                <w:rFonts w:ascii="Arial" w:hAnsi="Arial" w:cs="Arial Unicode MS"/>
              </w:rPr>
              <w:t>%</w:t>
            </w:r>
            <w:r w:rsidRPr="00452630">
              <w:rPr>
                <w:rStyle w:val="a8"/>
                <w:rFonts w:ascii="Arial" w:hAnsi="Arial" w:cs="Arial Unicode MS" w:hint="eastAsia"/>
              </w:rPr>
              <w:t>。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="442"/>
              <w:rPr>
                <w:rStyle w:val="a8"/>
                <w:rFonts w:ascii="Arial" w:hAnsi="Arial" w:cs="Arial Unicode MS"/>
                <w:szCs w:val="20"/>
              </w:rPr>
            </w:pPr>
            <w:r w:rsidRPr="00452630">
              <w:rPr>
                <w:rStyle w:val="a8"/>
                <w:rFonts w:ascii="Arial" w:hAnsi="Arial" w:cs="Arial Unicode MS" w:hint="eastAsia"/>
              </w:rPr>
              <w:t>主要来自理财业务、银行卡、代理及委托业务、托管业务等的手续费收入贡献。</w:t>
            </w:r>
          </w:p>
          <w:p w:rsidR="008B3EDE" w:rsidRPr="00452630" w:rsidRDefault="008B3EDE" w:rsidP="008B3EDE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</w:pPr>
            <w:bookmarkStart w:id="11" w:name="_Toc464590924"/>
            <w:bookmarkStart w:id="12" w:name="_Toc464720597"/>
            <w:r w:rsidRPr="00452630">
              <w:rPr>
                <w:szCs w:val="24"/>
              </w:rPr>
              <w:t>银行采取了哪些措施控制逾期贷款？预计何时会出现拐点？</w:t>
            </w:r>
            <w:bookmarkEnd w:id="11"/>
            <w:bookmarkEnd w:id="12"/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="420"/>
              <w:rPr>
                <w:rStyle w:val="a8"/>
                <w:rFonts w:ascii="Arial" w:hAnsi="Arial" w:cs="Arial"/>
                <w:szCs w:val="20"/>
              </w:rPr>
            </w:pPr>
            <w:r w:rsidRPr="00452630">
              <w:rPr>
                <w:rStyle w:val="a8"/>
                <w:rFonts w:ascii="Arial" w:hAnsi="Arial" w:hint="eastAsia"/>
              </w:rPr>
              <w:t>平安银行的不良资产管控分成三个层级：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="420"/>
              <w:rPr>
                <w:rStyle w:val="a8"/>
                <w:rFonts w:ascii="Arial" w:hAnsi="Arial" w:cs="Arial"/>
                <w:szCs w:val="20"/>
              </w:rPr>
            </w:pPr>
            <w:r w:rsidRPr="00452630">
              <w:rPr>
                <w:rStyle w:val="a8"/>
                <w:rFonts w:ascii="Arial" w:hAnsi="Arial" w:hint="eastAsia"/>
              </w:rPr>
              <w:t>第一个层级是</w:t>
            </w:r>
            <w:r w:rsidRPr="00452630">
              <w:rPr>
                <w:rStyle w:val="a8"/>
                <w:rFonts w:ascii="Arial" w:hAnsi="Arial" w:hint="eastAsia"/>
                <w:b/>
                <w:bCs/>
              </w:rPr>
              <w:t>客户结构的调整</w:t>
            </w:r>
            <w:r w:rsidRPr="00452630">
              <w:rPr>
                <w:rStyle w:val="a8"/>
                <w:rFonts w:ascii="Arial" w:hAnsi="Arial" w:hint="eastAsia"/>
              </w:rPr>
              <w:t>。做两头，主抓具有垄断地位、抗风险能力强的大型企业，实行名单制管理，以及周期性弱、风险充分分散的零售贷款。同时主动退出互保联保领域，和制造业、两高一剩等高风险行业。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="420"/>
              <w:rPr>
                <w:rStyle w:val="a8"/>
                <w:rFonts w:ascii="Arial" w:hAnsi="Arial" w:cs="Arial"/>
                <w:szCs w:val="20"/>
              </w:rPr>
            </w:pPr>
            <w:r w:rsidRPr="00452630">
              <w:rPr>
                <w:rStyle w:val="a8"/>
                <w:rFonts w:ascii="Arial" w:hAnsi="Arial" w:hint="eastAsia"/>
              </w:rPr>
              <w:t>第二，</w:t>
            </w:r>
            <w:r w:rsidRPr="00452630">
              <w:rPr>
                <w:rStyle w:val="a8"/>
                <w:rFonts w:ascii="Arial" w:hAnsi="Arial" w:hint="eastAsia"/>
                <w:b/>
                <w:bCs/>
              </w:rPr>
              <w:t>多维度的放款管理</w:t>
            </w:r>
            <w:r w:rsidRPr="00452630">
              <w:rPr>
                <w:rStyle w:val="a8"/>
                <w:rFonts w:ascii="Arial" w:hAnsi="Arial" w:hint="eastAsia"/>
              </w:rPr>
              <w:t>，实行贷款审批时，利用大数据、</w:t>
            </w:r>
            <w:r w:rsidRPr="00452630">
              <w:rPr>
                <w:rFonts w:ascii="Arial" w:hAnsi="Arial" w:hint="eastAsia"/>
              </w:rPr>
              <w:t>以及</w:t>
            </w:r>
            <w:r w:rsidRPr="00452630">
              <w:rPr>
                <w:rStyle w:val="a8"/>
                <w:rFonts w:ascii="Arial" w:hAnsi="Arial" w:hint="eastAsia"/>
              </w:rPr>
              <w:t>和第三方平台合作获取数据，贷款背景更加真实可信（例如税金贷、发票贷等），同时创新建立授信重审机制；形成贷款，有贷后管理存量的跟踪；出现问题，加快处置的速度和力度，使有问题的资产能够把它的损失最小化。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="420"/>
              <w:rPr>
                <w:rStyle w:val="a8"/>
                <w:rFonts w:ascii="Arial" w:hAnsi="Arial" w:cs="Arial"/>
                <w:szCs w:val="20"/>
              </w:rPr>
            </w:pPr>
            <w:r w:rsidRPr="00452630">
              <w:rPr>
                <w:rStyle w:val="a8"/>
                <w:rFonts w:ascii="Arial" w:hAnsi="Arial" w:hint="eastAsia"/>
              </w:rPr>
              <w:t>第三，对问题资产</w:t>
            </w:r>
            <w:r w:rsidRPr="00452630">
              <w:rPr>
                <w:rStyle w:val="a8"/>
                <w:rFonts w:ascii="Arial" w:hAnsi="Arial" w:hint="eastAsia"/>
                <w:b/>
                <w:bCs/>
              </w:rPr>
              <w:t>实施多元处置方式</w:t>
            </w:r>
            <w:r w:rsidRPr="00452630">
              <w:rPr>
                <w:rStyle w:val="a8"/>
                <w:rFonts w:ascii="Arial" w:hAnsi="Arial" w:hint="eastAsia"/>
              </w:rPr>
              <w:t>。除了使用新技术加大对问题资</w:t>
            </w:r>
            <w:r w:rsidRPr="00452630">
              <w:rPr>
                <w:rStyle w:val="a8"/>
                <w:rFonts w:ascii="Arial" w:hAnsi="Arial" w:hint="eastAsia"/>
              </w:rPr>
              <w:lastRenderedPageBreak/>
              <w:t>产的处置之外采取了：</w:t>
            </w:r>
            <w:r w:rsidRPr="00452630">
              <w:rPr>
                <w:rStyle w:val="a8"/>
                <w:rFonts w:ascii="Arial" w:hAnsi="Arial" w:cs="Arial"/>
              </w:rPr>
              <w:t>1</w:t>
            </w:r>
            <w:r w:rsidRPr="00452630">
              <w:rPr>
                <w:rStyle w:val="a8"/>
                <w:rFonts w:ascii="Arial" w:hAnsi="Arial" w:hint="eastAsia"/>
              </w:rPr>
              <w:t>）建立专门的队伍，从总行到区域到分行都有专业化的处置团队；</w:t>
            </w:r>
            <w:r w:rsidRPr="00452630">
              <w:rPr>
                <w:rStyle w:val="a8"/>
                <w:rFonts w:ascii="Arial" w:hAnsi="Arial" w:cs="Arial"/>
              </w:rPr>
              <w:t>2</w:t>
            </w:r>
            <w:r w:rsidRPr="00452630">
              <w:rPr>
                <w:rStyle w:val="a8"/>
                <w:rFonts w:ascii="Arial" w:hAnsi="Arial" w:hint="eastAsia"/>
              </w:rPr>
              <w:t>）多手段的进行资产买卖；</w:t>
            </w:r>
            <w:r w:rsidRPr="00452630">
              <w:rPr>
                <w:rStyle w:val="a8"/>
                <w:rFonts w:ascii="Arial" w:hAnsi="Arial" w:cs="Arial"/>
              </w:rPr>
              <w:t>3</w:t>
            </w:r>
            <w:r w:rsidRPr="00452630">
              <w:rPr>
                <w:rStyle w:val="a8"/>
                <w:rFonts w:ascii="Arial" w:hAnsi="Arial" w:hint="eastAsia"/>
              </w:rPr>
              <w:t>）加大核销打包出售等处置。</w:t>
            </w:r>
          </w:p>
          <w:p w:rsidR="008B3EDE" w:rsidRPr="00452630" w:rsidRDefault="008B3EDE" w:rsidP="008B3EDE">
            <w:pPr>
              <w:adjustRightInd w:val="0"/>
              <w:snapToGrid w:val="0"/>
              <w:spacing w:afterLines="20"/>
              <w:ind w:firstLineChars="200" w:firstLine="400"/>
              <w:rPr>
                <w:rStyle w:val="a8"/>
                <w:rFonts w:ascii="Arial" w:hAnsi="Arial" w:cs="Arial"/>
                <w:szCs w:val="20"/>
              </w:rPr>
            </w:pPr>
            <w:r w:rsidRPr="00452630">
              <w:rPr>
                <w:rStyle w:val="a8"/>
                <w:rFonts w:ascii="Arial" w:hAnsi="Arial" w:hint="eastAsia"/>
              </w:rPr>
              <w:t>截至报告期末，我行不良贷款</w:t>
            </w:r>
            <w:r w:rsidRPr="00452630">
              <w:rPr>
                <w:rStyle w:val="a8"/>
                <w:rFonts w:ascii="Arial" w:hAnsi="Arial" w:cs="Arial" w:hint="eastAsia"/>
              </w:rPr>
              <w:t>1.56</w:t>
            </w:r>
            <w:r w:rsidRPr="00452630">
              <w:rPr>
                <w:rStyle w:val="a8"/>
                <w:rFonts w:ascii="Arial" w:hAnsi="Arial" w:cs="Arial"/>
              </w:rPr>
              <w:t>%</w:t>
            </w:r>
            <w:r w:rsidRPr="00452630">
              <w:rPr>
                <w:rStyle w:val="a8"/>
                <w:rFonts w:ascii="Arial" w:hAnsi="Arial" w:hint="eastAsia"/>
              </w:rPr>
              <w:t>，处于上市股份制银行中较低水平。何时出现拐点，还是要看国民经济结构调整和经济变化情况，经济出现拐点向上走，银行资产质量压力就会有所缓解。</w:t>
            </w:r>
          </w:p>
          <w:p w:rsidR="008B3EDE" w:rsidRDefault="008B3EDE" w:rsidP="00B708D6">
            <w:pPr>
              <w:spacing w:line="480" w:lineRule="atLeast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eastAsia="zh-TW"/>
              </w:rPr>
            </w:pPr>
          </w:p>
          <w:p w:rsidR="00EE1C10" w:rsidRPr="002515C0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FA1FC9" w:rsidP="008B3ED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="00217D1A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8B3ED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三</w:t>
            </w:r>
            <w:r w:rsidR="00B708D6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季度</w:t>
            </w:r>
            <w:r w:rsidR="00217D1A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PPT（请参见bank.pingan.com投资者关系-公司推介栏目）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61259" w:rsidP="008B3ED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8B3ED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11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8B3ED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</w:t>
            </w:r>
          </w:p>
        </w:tc>
      </w:tr>
    </w:tbl>
    <w:p w:rsidR="00941F1C" w:rsidRPr="002515C0" w:rsidRDefault="00941F1C" w:rsidP="00862CF2">
      <w:pPr>
        <w:rPr>
          <w:rFonts w:asciiTheme="minorEastAsia" w:eastAsiaTheme="minorEastAsia" w:hAnsiTheme="minorEastAsia"/>
        </w:rPr>
      </w:pPr>
    </w:p>
    <w:sectPr w:rsidR="00941F1C" w:rsidRPr="002515C0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9E" w:rsidRDefault="0045059E" w:rsidP="00D96584">
      <w:r>
        <w:separator/>
      </w:r>
    </w:p>
  </w:endnote>
  <w:endnote w:type="continuationSeparator" w:id="0">
    <w:p w:rsidR="0045059E" w:rsidRDefault="0045059E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9E" w:rsidRDefault="0045059E" w:rsidP="00D96584">
      <w:r>
        <w:separator/>
      </w:r>
    </w:p>
  </w:footnote>
  <w:footnote w:type="continuationSeparator" w:id="0">
    <w:p w:rsidR="0045059E" w:rsidRDefault="0045059E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8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3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4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19"/>
  </w:num>
  <w:num w:numId="13">
    <w:abstractNumId w:val="7"/>
  </w:num>
  <w:num w:numId="14">
    <w:abstractNumId w:val="24"/>
  </w:num>
  <w:num w:numId="15">
    <w:abstractNumId w:val="14"/>
  </w:num>
  <w:num w:numId="16">
    <w:abstractNumId w:val="15"/>
  </w:num>
  <w:num w:numId="17">
    <w:abstractNumId w:val="13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D2529"/>
    <w:rsid w:val="001E2C63"/>
    <w:rsid w:val="00210939"/>
    <w:rsid w:val="00217D1A"/>
    <w:rsid w:val="002515C0"/>
    <w:rsid w:val="002B5D00"/>
    <w:rsid w:val="003317E5"/>
    <w:rsid w:val="00375010"/>
    <w:rsid w:val="003B107D"/>
    <w:rsid w:val="003B721F"/>
    <w:rsid w:val="003F79D6"/>
    <w:rsid w:val="0043629D"/>
    <w:rsid w:val="0045059E"/>
    <w:rsid w:val="00497C7E"/>
    <w:rsid w:val="004B47B1"/>
    <w:rsid w:val="0051123B"/>
    <w:rsid w:val="00535D6F"/>
    <w:rsid w:val="00550FD9"/>
    <w:rsid w:val="00622C3A"/>
    <w:rsid w:val="00623A26"/>
    <w:rsid w:val="0063326E"/>
    <w:rsid w:val="00684A13"/>
    <w:rsid w:val="006A1753"/>
    <w:rsid w:val="006F64B3"/>
    <w:rsid w:val="00761259"/>
    <w:rsid w:val="00793203"/>
    <w:rsid w:val="007C213F"/>
    <w:rsid w:val="00845B88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17ECB"/>
    <w:rsid w:val="00B31C4E"/>
    <w:rsid w:val="00B708D6"/>
    <w:rsid w:val="00B71E2E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302B7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1805</Characters>
  <Application>Microsoft Office Word</Application>
  <DocSecurity>0</DocSecurity>
  <Lines>15</Lines>
  <Paragraphs>4</Paragraphs>
  <ScaleCrop>false</ScaleCrop>
  <Company>sdb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2017-02-07T03:11:00Z</dcterms:created>
  <dcterms:modified xsi:type="dcterms:W3CDTF">2017-02-07T03:15:00Z</dcterms:modified>
</cp:coreProperties>
</file>