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D" w:rsidRPr="005917CA" w:rsidRDefault="00F23DED" w:rsidP="00FE3214">
      <w:pPr>
        <w:spacing w:after="0" w:line="360" w:lineRule="auto"/>
        <w:rPr>
          <w:b/>
        </w:rPr>
      </w:pPr>
      <w:r w:rsidRPr="005917CA">
        <w:rPr>
          <w:rFonts w:hint="eastAsia"/>
          <w:b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</w:t>
      </w:r>
      <w:r w:rsidRPr="005917CA">
        <w:rPr>
          <w:b/>
        </w:rPr>
        <w:t xml:space="preserve"> </w:t>
      </w:r>
      <w:r w:rsidRPr="005917CA">
        <w:rPr>
          <w:rFonts w:hint="eastAsia"/>
          <w:b/>
        </w:rPr>
        <w:t>证券简称：富瀚微</w:t>
      </w:r>
    </w:p>
    <w:p w:rsidR="00F23DED" w:rsidRPr="00FE446C" w:rsidRDefault="00F23DED" w:rsidP="00FE446C">
      <w:pPr>
        <w:spacing w:after="0" w:line="360" w:lineRule="auto"/>
        <w:ind w:firstLineChars="300" w:firstLine="843"/>
        <w:rPr>
          <w:rFonts w:ascii="宋体" w:cs="宋体"/>
          <w:b/>
          <w:noProof/>
          <w:spacing w:val="-2"/>
          <w:w w:val="98"/>
          <w:sz w:val="28"/>
        </w:rPr>
      </w:pPr>
      <w:r w:rsidRPr="00FE446C">
        <w:rPr>
          <w:rFonts w:ascii="宋体" w:hAnsi="宋体" w:cs="宋体" w:hint="eastAsia"/>
          <w:b/>
          <w:noProof/>
          <w:sz w:val="28"/>
        </w:rPr>
        <w:t>上海富瀚微电子股份有限公司</w:t>
      </w:r>
      <w:r w:rsidRPr="00FE446C">
        <w:rPr>
          <w:rFonts w:ascii="宋体" w:hAnsi="宋体" w:cs="宋体" w:hint="eastAsia"/>
          <w:b/>
          <w:noProof/>
          <w:spacing w:val="-1"/>
          <w:w w:val="98"/>
          <w:sz w:val="28"/>
        </w:rPr>
        <w:t>投资者关系活动记</w:t>
      </w:r>
      <w:r w:rsidRPr="00FE446C">
        <w:rPr>
          <w:rFonts w:ascii="宋体" w:hAnsi="宋体" w:cs="宋体" w:hint="eastAsia"/>
          <w:b/>
          <w:noProof/>
          <w:spacing w:val="-2"/>
          <w:w w:val="98"/>
          <w:sz w:val="28"/>
        </w:rPr>
        <w:t>录表</w:t>
      </w:r>
    </w:p>
    <w:p w:rsidR="00F23DED" w:rsidRPr="00763660" w:rsidRDefault="00F23DED" w:rsidP="00FE446C">
      <w:pPr>
        <w:spacing w:after="0" w:line="360" w:lineRule="auto"/>
        <w:ind w:right="402"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>
        <w:rPr>
          <w:rFonts w:ascii="Times New Roman" w:hAnsi="Times New Roman"/>
          <w:noProof/>
          <w:spacing w:val="-2"/>
          <w:w w:val="98"/>
          <w:szCs w:val="21"/>
        </w:rPr>
        <w:t>2017-003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47"/>
      </w:tblGrid>
      <w:tr w:rsidR="00F23DED" w:rsidRPr="00974890" w:rsidTr="00E866CE">
        <w:trPr>
          <w:trHeight w:val="3244"/>
        </w:trPr>
        <w:tc>
          <w:tcPr>
            <w:tcW w:w="1908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F23DED" w:rsidRPr="00974890" w:rsidRDefault="00F23DED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F23DED" w:rsidRPr="00974890" w:rsidRDefault="00F23DED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F23DED" w:rsidRPr="00974890" w:rsidRDefault="00F23DED" w:rsidP="005A7B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F23DED" w:rsidRPr="00974890" w:rsidRDefault="00F23DED" w:rsidP="005A7BFF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F23DED" w:rsidRPr="00974890" w:rsidTr="00A77938">
        <w:trPr>
          <w:trHeight w:val="1393"/>
        </w:trPr>
        <w:tc>
          <w:tcPr>
            <w:tcW w:w="1908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</w:tcPr>
          <w:p w:rsidR="00F23DED" w:rsidRDefault="00F23DED" w:rsidP="00112C5F">
            <w:pPr>
              <w:widowControl/>
              <w:spacing w:after="0"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中泰证券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耿琛；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华夏基金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李明斯；</w:t>
            </w:r>
          </w:p>
          <w:p w:rsidR="00F23DED" w:rsidRDefault="00F23DED" w:rsidP="00112C5F">
            <w:pPr>
              <w:widowControl/>
              <w:spacing w:after="0"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信诚基金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刘锐；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海富通基金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范庭芳；</w:t>
            </w:r>
          </w:p>
          <w:p w:rsidR="00F23DED" w:rsidRDefault="00F23DED" w:rsidP="00112C5F">
            <w:pPr>
              <w:widowControl/>
              <w:spacing w:after="0"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国泰基金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杜沛；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兴业资管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赵一路；</w:t>
            </w:r>
          </w:p>
          <w:p w:rsidR="00F23DED" w:rsidRPr="00112C5F" w:rsidRDefault="00F23DED" w:rsidP="00112C5F">
            <w:pPr>
              <w:widowControl/>
              <w:spacing w:after="0" w:line="24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中国人寿资管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 w:rsidRPr="00112C5F">
              <w:rPr>
                <w:rFonts w:ascii="宋体" w:hAnsi="宋体" w:cs="宋体" w:hint="eastAsia"/>
                <w:kern w:val="0"/>
                <w:sz w:val="24"/>
                <w:szCs w:val="24"/>
              </w:rPr>
              <w:t>程亮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F23DED" w:rsidRPr="00974890" w:rsidTr="00E866CE">
        <w:trPr>
          <w:trHeight w:val="550"/>
        </w:trPr>
        <w:tc>
          <w:tcPr>
            <w:tcW w:w="1908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vAlign w:val="center"/>
          </w:tcPr>
          <w:p w:rsidR="00F23DED" w:rsidRPr="00C9042F" w:rsidRDefault="00F23DED" w:rsidP="00C9042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17"/>
              </w:smartTagP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2017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4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月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21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上午</w:t>
            </w:r>
          </w:p>
        </w:tc>
      </w:tr>
      <w:tr w:rsidR="00F23DED" w:rsidRPr="00974890" w:rsidTr="00E866CE">
        <w:trPr>
          <w:trHeight w:val="574"/>
        </w:trPr>
        <w:tc>
          <w:tcPr>
            <w:tcW w:w="1908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vAlign w:val="center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F23DED" w:rsidRPr="00974890" w:rsidTr="00E866CE">
        <w:trPr>
          <w:trHeight w:val="906"/>
        </w:trPr>
        <w:tc>
          <w:tcPr>
            <w:tcW w:w="1908" w:type="dxa"/>
          </w:tcPr>
          <w:p w:rsidR="00F23DED" w:rsidRPr="00974890" w:rsidRDefault="00F23DED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vAlign w:val="center"/>
          </w:tcPr>
          <w:p w:rsidR="00F23DED" w:rsidRPr="006C19CB" w:rsidRDefault="00F23DED" w:rsidP="006C19CB">
            <w:pPr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董事、高级运营副总裁、董秘谢煜璋</w:t>
            </w:r>
          </w:p>
          <w:p w:rsidR="00F23DED" w:rsidRPr="00C9042F" w:rsidRDefault="00F23DED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证券事务代表余滢</w:t>
            </w:r>
          </w:p>
        </w:tc>
      </w:tr>
      <w:tr w:rsidR="00F23DED" w:rsidRPr="00865FD1" w:rsidTr="00E866CE">
        <w:trPr>
          <w:trHeight w:val="841"/>
        </w:trPr>
        <w:tc>
          <w:tcPr>
            <w:tcW w:w="1908" w:type="dxa"/>
            <w:vAlign w:val="center"/>
          </w:tcPr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</w:tcPr>
          <w:p w:rsidR="00F23DED" w:rsidRPr="00F80D70" w:rsidRDefault="00F23DED" w:rsidP="00FE0C5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F80D70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董事、副总裁兼董事会秘书谢煜璋先生主持了本次活动，谢煜璋先生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首先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简要介绍了公司的发展历程及业务发展情况。之后与会人员采用问答形式进行了沟通，具体内容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纪要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如下：</w:t>
            </w:r>
          </w:p>
          <w:p w:rsidR="00F23DED" w:rsidRPr="00F80D70" w:rsidRDefault="00F23DED" w:rsidP="00FE0C5F">
            <w:pPr>
              <w:adjustRightInd w:val="0"/>
              <w:snapToGrid w:val="0"/>
              <w:spacing w:line="300" w:lineRule="auto"/>
              <w:ind w:firstLineChars="196" w:firstLine="472"/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F80D70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F80D70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：公司</w:t>
            </w:r>
            <w:r w:rsidRPr="00F80D70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IPC</w:t>
            </w:r>
            <w:r w:rsidRPr="00F80D70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芯片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的研发</w:t>
            </w:r>
            <w:r w:rsidRPr="00F80D70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进展如何？</w:t>
            </w:r>
            <w:r w:rsidRPr="00F80D70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23DED" w:rsidRDefault="00F23DED" w:rsidP="00FE0C5F">
            <w:pPr>
              <w:pStyle w:val="-"/>
              <w:spacing w:before="156" w:after="156"/>
              <w:ind w:firstLineChars="199" w:firstLine="479"/>
              <w:rPr>
                <w:rFonts w:ascii="宋体" w:hAnsi="宋体" w:cs="Arial"/>
                <w:bCs/>
                <w:iCs/>
                <w:color w:val="000000"/>
                <w:szCs w:val="24"/>
              </w:rPr>
            </w:pPr>
            <w:r w:rsidRPr="00FE0C5F">
              <w:rPr>
                <w:rFonts w:ascii="宋体" w:hAnsi="宋体" w:cs="Arial"/>
                <w:b/>
                <w:bCs/>
                <w:iCs/>
                <w:color w:val="000000"/>
                <w:szCs w:val="24"/>
              </w:rPr>
              <w:t>A</w:t>
            </w:r>
            <w:r w:rsidRPr="00FE0C5F"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：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公司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在</w:t>
            </w:r>
            <w:r w:rsidRPr="00E866CE">
              <w:rPr>
                <w:bCs/>
                <w:iCs/>
                <w:color w:val="000000"/>
                <w:szCs w:val="24"/>
              </w:rPr>
              <w:t>IPC SoC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芯片领域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正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持续加大研发投入，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积极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布局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产品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，公司募投项目“全高清网络摄像机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”</w:t>
            </w:r>
            <w:r>
              <w:rPr>
                <w:rFonts w:hint="eastAsia"/>
                <w:bCs/>
                <w:iCs/>
                <w:color w:val="000000"/>
                <w:szCs w:val="24"/>
              </w:rPr>
              <w:t>相关产品已获得部分客户认可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，</w:t>
            </w:r>
            <w:r w:rsidRPr="00F80D70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进入批量试生产阶段。</w:t>
            </w:r>
            <w:r>
              <w:rPr>
                <w:rFonts w:ascii="宋体" w:hAnsi="宋体" w:cs="Arial"/>
                <w:bCs/>
                <w:iCs/>
                <w:color w:val="000000"/>
                <w:szCs w:val="24"/>
              </w:rPr>
              <w:t xml:space="preserve"> </w:t>
            </w:r>
          </w:p>
          <w:p w:rsidR="00F23DED" w:rsidRDefault="00F23DED" w:rsidP="00A45D75">
            <w:pPr>
              <w:pStyle w:val="-"/>
              <w:spacing w:before="156" w:after="156"/>
              <w:ind w:firstLineChars="199" w:firstLine="479"/>
              <w:rPr>
                <w:rFonts w:ascii="宋体" w:cs="Arial"/>
                <w:b/>
                <w:bCs/>
                <w:iCs/>
                <w:color w:val="000000"/>
                <w:szCs w:val="24"/>
              </w:rPr>
            </w:pPr>
            <w:r w:rsidRPr="00F80D70">
              <w:rPr>
                <w:rFonts w:ascii="宋体" w:hAnsi="宋体" w:cs="Arial"/>
                <w:b/>
                <w:bCs/>
                <w:iCs/>
                <w:color w:val="000000"/>
                <w:szCs w:val="24"/>
              </w:rPr>
              <w:t>Q</w:t>
            </w:r>
            <w:r w:rsidRPr="00F80D70"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：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请问公司</w:t>
            </w:r>
            <w:r w:rsidRPr="00E866CE">
              <w:rPr>
                <w:b/>
                <w:bCs/>
                <w:iCs/>
                <w:color w:val="000000"/>
                <w:szCs w:val="24"/>
              </w:rPr>
              <w:t>ISP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和</w:t>
            </w:r>
            <w:r w:rsidRPr="00E866CE">
              <w:rPr>
                <w:b/>
                <w:bCs/>
                <w:iCs/>
                <w:color w:val="000000"/>
                <w:szCs w:val="24"/>
              </w:rPr>
              <w:t>IPC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芯片的市场提升空间如何？</w:t>
            </w:r>
          </w:p>
          <w:p w:rsidR="00F23DED" w:rsidRPr="00112C5F" w:rsidRDefault="00F23DED" w:rsidP="00D8339E">
            <w:pPr>
              <w:pStyle w:val="-"/>
              <w:spacing w:before="156" w:after="156"/>
              <w:ind w:firstLineChars="199" w:firstLine="479"/>
              <w:rPr>
                <w:rFonts w:ascii="宋体" w:hAnsi="宋体" w:cs="Arial"/>
                <w:bCs/>
                <w:iCs/>
                <w:color w:val="000000"/>
                <w:szCs w:val="24"/>
              </w:rPr>
            </w:pPr>
            <w:r w:rsidRPr="00112C5F">
              <w:rPr>
                <w:rFonts w:ascii="宋体" w:hAnsi="宋体" w:cs="Arial"/>
                <w:b/>
                <w:bCs/>
                <w:iCs/>
                <w:color w:val="000000"/>
                <w:szCs w:val="24"/>
              </w:rPr>
              <w:t>A</w:t>
            </w:r>
            <w:r w:rsidRPr="00112C5F">
              <w:rPr>
                <w:rFonts w:ascii="宋体" w:hAnsi="宋体" w:cs="Arial" w:hint="eastAsia"/>
                <w:b/>
                <w:bCs/>
                <w:iCs/>
                <w:color w:val="000000"/>
                <w:szCs w:val="24"/>
              </w:rPr>
              <w:t>：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市场对模拟同轴高清方案需求不减，量</w:t>
            </w:r>
            <w:r w:rsidRPr="00112C5F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平稳增长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，公司有能力和信心在这领域继续保持原有的市场地位</w:t>
            </w:r>
            <w:r w:rsidRPr="00112C5F"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；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就</w:t>
            </w:r>
            <w:r>
              <w:rPr>
                <w:rFonts w:ascii="宋体" w:hAnsi="宋体" w:cs="Arial"/>
                <w:bCs/>
                <w:iCs/>
                <w:color w:val="000000"/>
                <w:szCs w:val="24"/>
              </w:rPr>
              <w:t>IPC</w:t>
            </w:r>
            <w:r>
              <w:rPr>
                <w:rFonts w:ascii="宋体" w:hAnsi="宋体" w:cs="Arial" w:hint="eastAsia"/>
                <w:bCs/>
                <w:iCs/>
                <w:color w:val="000000"/>
                <w:szCs w:val="24"/>
              </w:rPr>
              <w:t>芯片的市场空间，无疑留给公司的增长空间是广阔的，相信经过研发人员这几年的辛勤耕耘，在这领域会有所建树。</w:t>
            </w:r>
            <w:r w:rsidRPr="00112C5F">
              <w:rPr>
                <w:rFonts w:ascii="宋体" w:hAnsi="宋体" w:cs="Arial"/>
                <w:bCs/>
                <w:iCs/>
                <w:color w:val="000000"/>
                <w:szCs w:val="24"/>
              </w:rPr>
              <w:t xml:space="preserve"> </w:t>
            </w:r>
            <w:bookmarkStart w:id="0" w:name="_GoBack"/>
            <w:bookmarkEnd w:id="0"/>
          </w:p>
          <w:p w:rsidR="00F23DED" w:rsidRPr="0042666F" w:rsidRDefault="00F23DED" w:rsidP="00A45D7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ind w:firstLineChars="196" w:firstLine="472"/>
              <w:rPr>
                <w:rFonts w:asci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42666F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42666F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：请问公司芯片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的价格趋势</w:t>
            </w:r>
            <w:r w:rsidRPr="0042666F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？</w:t>
            </w:r>
          </w:p>
          <w:p w:rsidR="00F23DED" w:rsidRPr="0042666F" w:rsidRDefault="00F23DED" w:rsidP="00D8339E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42666F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  </w:t>
            </w:r>
            <w:r w:rsidRPr="0042666F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 w:rsidRPr="0042666F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集成电路产品的销售价格取决于产品的成本和竞争态势等多种因素，公司</w:t>
            </w:r>
            <w:r w:rsidRPr="00DA7E26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ISP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芯片市占率处于领先地位，相对定价能力强。</w:t>
            </w:r>
            <w:r w:rsidRPr="00E866CE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IPC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则竞争相对激烈，价格根据供求而定。</w:t>
            </w:r>
          </w:p>
          <w:p w:rsidR="00F23DED" w:rsidRPr="00670178" w:rsidRDefault="00F23DED" w:rsidP="00A45D75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ind w:firstLineChars="196" w:firstLine="472"/>
              <w:rPr>
                <w:rFonts w:asci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670178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Q: </w:t>
            </w:r>
            <w:r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公司芯片在哪些新领域有应用？</w:t>
            </w:r>
          </w:p>
          <w:p w:rsidR="00F23DED" w:rsidRPr="00F80D70" w:rsidRDefault="00F23DED" w:rsidP="00D8339E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A45D75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A: 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公司芯片在纵向专注于专业安防视频监控领域同时，横向也已将触角延伸至更多新兴消费类市场领域，如智能家居、无人机，家用泛安防领域等等。</w:t>
            </w:r>
          </w:p>
          <w:p w:rsidR="00F23DED" w:rsidRPr="00F80D70" w:rsidRDefault="00F23DED" w:rsidP="00F80D7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ind w:leftChars="-30" w:left="-1" w:hangingChars="26" w:hanging="62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F80D70">
              <w:rPr>
                <w:rFonts w:ascii="宋体" w:hAnsi="宋体" w:cs="Arial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Cs/>
                <w:iCs/>
                <w:color w:val="000000"/>
                <w:kern w:val="0"/>
                <w:sz w:val="24"/>
                <w:szCs w:val="24"/>
              </w:rPr>
              <w:t xml:space="preserve">   </w:t>
            </w:r>
            <w:r w:rsidRPr="00267193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Q:</w:t>
            </w:r>
            <w:r w:rsidRPr="001B22F0">
              <w:rPr>
                <w:rFonts w:ascii="宋体" w:hAns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未来公司在资本市场有什么外延式并购发展规划？</w:t>
            </w:r>
          </w:p>
          <w:p w:rsidR="00F23DED" w:rsidRPr="00F80D70" w:rsidRDefault="00F23DED" w:rsidP="00D8339E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196" w:firstLine="472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267193">
              <w:rPr>
                <w:rFonts w:ascii="宋体" w:hAns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A: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公司在技术上以内生发展为主，对外延式并购亦保持开放态度，未来不排除通过资本的力量进一步丰富产品品类，这对于一个目光长远和有追求的企业是有积极意义的。</w:t>
            </w:r>
          </w:p>
        </w:tc>
      </w:tr>
      <w:tr w:rsidR="00F23DED" w:rsidRPr="00974890" w:rsidTr="00E866CE">
        <w:trPr>
          <w:trHeight w:val="353"/>
        </w:trPr>
        <w:tc>
          <w:tcPr>
            <w:tcW w:w="1908" w:type="dxa"/>
            <w:vAlign w:val="center"/>
          </w:tcPr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</w:tcPr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23DED" w:rsidRPr="00974890" w:rsidTr="00E866CE">
        <w:trPr>
          <w:trHeight w:val="319"/>
        </w:trPr>
        <w:tc>
          <w:tcPr>
            <w:tcW w:w="1908" w:type="dxa"/>
            <w:vAlign w:val="center"/>
          </w:tcPr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</w:tcPr>
          <w:p w:rsidR="00F23DED" w:rsidRPr="00974890" w:rsidRDefault="00F23DED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04"/>
                <w:attr w:name="Year" w:val="2017"/>
              </w:smartTagPr>
              <w:r w:rsidRPr="00BE530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2017</w:t>
              </w:r>
              <w:r w:rsidRPr="00974890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年</w:t>
              </w:r>
              <w:r w:rsidRPr="00BE530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04</w:t>
              </w:r>
              <w:r w:rsidRPr="00974890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月</w:t>
              </w:r>
              <w:r w:rsidRPr="00BE5304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21</w:t>
              </w:r>
              <w:r w:rsidRPr="00974890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</w:tbl>
    <w:p w:rsidR="00F23DED" w:rsidRPr="00FE446C" w:rsidRDefault="00F23DED" w:rsidP="002940BE">
      <w:pPr>
        <w:adjustRightInd w:val="0"/>
        <w:snapToGrid w:val="0"/>
        <w:spacing w:line="300" w:lineRule="auto"/>
        <w:rPr>
          <w:sz w:val="13"/>
          <w:szCs w:val="13"/>
        </w:rPr>
      </w:pPr>
    </w:p>
    <w:sectPr w:rsidR="00F23DED" w:rsidRPr="00FE446C" w:rsidSect="00FE446C">
      <w:footerReference w:type="even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ED" w:rsidRDefault="00F23DED" w:rsidP="0001341D">
      <w:pPr>
        <w:spacing w:after="0" w:line="240" w:lineRule="auto"/>
      </w:pPr>
      <w:r>
        <w:separator/>
      </w:r>
    </w:p>
  </w:endnote>
  <w:endnote w:type="continuationSeparator" w:id="0">
    <w:p w:rsidR="00F23DED" w:rsidRDefault="00F23DED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ED" w:rsidRDefault="00F23DED" w:rsidP="00E57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DED" w:rsidRDefault="00F23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ED" w:rsidRDefault="00F23DED" w:rsidP="0001341D">
      <w:pPr>
        <w:spacing w:after="0" w:line="240" w:lineRule="auto"/>
      </w:pPr>
      <w:r>
        <w:separator/>
      </w:r>
    </w:p>
  </w:footnote>
  <w:footnote w:type="continuationSeparator" w:id="0">
    <w:p w:rsidR="00F23DED" w:rsidRDefault="00F23DED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66B"/>
    <w:rsid w:val="0001341D"/>
    <w:rsid w:val="0002086D"/>
    <w:rsid w:val="000660A4"/>
    <w:rsid w:val="000712A4"/>
    <w:rsid w:val="00072FE7"/>
    <w:rsid w:val="00074455"/>
    <w:rsid w:val="000877A0"/>
    <w:rsid w:val="00093C72"/>
    <w:rsid w:val="000971D9"/>
    <w:rsid w:val="000B2112"/>
    <w:rsid w:val="000C4BC6"/>
    <w:rsid w:val="000D34E4"/>
    <w:rsid w:val="000D60C2"/>
    <w:rsid w:val="000E22C3"/>
    <w:rsid w:val="000E7865"/>
    <w:rsid w:val="000E7BE1"/>
    <w:rsid w:val="000F4889"/>
    <w:rsid w:val="00112C5F"/>
    <w:rsid w:val="0012464C"/>
    <w:rsid w:val="00137ABA"/>
    <w:rsid w:val="00145BE6"/>
    <w:rsid w:val="00154AA5"/>
    <w:rsid w:val="0016722F"/>
    <w:rsid w:val="00170D53"/>
    <w:rsid w:val="001A12CF"/>
    <w:rsid w:val="001A5037"/>
    <w:rsid w:val="001B1D4B"/>
    <w:rsid w:val="001B22F0"/>
    <w:rsid w:val="001B3AF0"/>
    <w:rsid w:val="001C4089"/>
    <w:rsid w:val="001E6D7E"/>
    <w:rsid w:val="001F6DF9"/>
    <w:rsid w:val="00203EF6"/>
    <w:rsid w:val="002401F1"/>
    <w:rsid w:val="0024287B"/>
    <w:rsid w:val="00250239"/>
    <w:rsid w:val="0025072B"/>
    <w:rsid w:val="00252935"/>
    <w:rsid w:val="002574D7"/>
    <w:rsid w:val="00267193"/>
    <w:rsid w:val="00287A5A"/>
    <w:rsid w:val="002940BE"/>
    <w:rsid w:val="002B10D6"/>
    <w:rsid w:val="002D36A1"/>
    <w:rsid w:val="002D3FF4"/>
    <w:rsid w:val="002E258A"/>
    <w:rsid w:val="002E7257"/>
    <w:rsid w:val="002F105D"/>
    <w:rsid w:val="002F5FD5"/>
    <w:rsid w:val="00302CF8"/>
    <w:rsid w:val="00317633"/>
    <w:rsid w:val="00342685"/>
    <w:rsid w:val="00364412"/>
    <w:rsid w:val="0037666F"/>
    <w:rsid w:val="00386085"/>
    <w:rsid w:val="00395847"/>
    <w:rsid w:val="003B71FF"/>
    <w:rsid w:val="003D0158"/>
    <w:rsid w:val="003D1507"/>
    <w:rsid w:val="003E5D8B"/>
    <w:rsid w:val="003F0D3B"/>
    <w:rsid w:val="00412CE7"/>
    <w:rsid w:val="0042666F"/>
    <w:rsid w:val="004326E8"/>
    <w:rsid w:val="004349B2"/>
    <w:rsid w:val="00436450"/>
    <w:rsid w:val="0043728F"/>
    <w:rsid w:val="004643F1"/>
    <w:rsid w:val="004810D3"/>
    <w:rsid w:val="0048259B"/>
    <w:rsid w:val="00483E2F"/>
    <w:rsid w:val="00485222"/>
    <w:rsid w:val="00491C09"/>
    <w:rsid w:val="004C1E61"/>
    <w:rsid w:val="004C4F32"/>
    <w:rsid w:val="004D1BA0"/>
    <w:rsid w:val="004D1D72"/>
    <w:rsid w:val="004D5448"/>
    <w:rsid w:val="005206EB"/>
    <w:rsid w:val="00526D42"/>
    <w:rsid w:val="00531959"/>
    <w:rsid w:val="005349A2"/>
    <w:rsid w:val="005350A8"/>
    <w:rsid w:val="005917CA"/>
    <w:rsid w:val="00592F17"/>
    <w:rsid w:val="005A7BFF"/>
    <w:rsid w:val="005B4214"/>
    <w:rsid w:val="005C4ABB"/>
    <w:rsid w:val="005C5A14"/>
    <w:rsid w:val="005F7A68"/>
    <w:rsid w:val="0062416D"/>
    <w:rsid w:val="00653925"/>
    <w:rsid w:val="00656128"/>
    <w:rsid w:val="00665937"/>
    <w:rsid w:val="00670178"/>
    <w:rsid w:val="006A796A"/>
    <w:rsid w:val="006B14F6"/>
    <w:rsid w:val="006C19CB"/>
    <w:rsid w:val="006C4A39"/>
    <w:rsid w:val="006D1018"/>
    <w:rsid w:val="006D2B95"/>
    <w:rsid w:val="007062E3"/>
    <w:rsid w:val="007115B2"/>
    <w:rsid w:val="007159C3"/>
    <w:rsid w:val="00721496"/>
    <w:rsid w:val="00737058"/>
    <w:rsid w:val="007417B9"/>
    <w:rsid w:val="00750243"/>
    <w:rsid w:val="00763660"/>
    <w:rsid w:val="00770D4D"/>
    <w:rsid w:val="007B0C14"/>
    <w:rsid w:val="007B60F8"/>
    <w:rsid w:val="007E08F3"/>
    <w:rsid w:val="007E3680"/>
    <w:rsid w:val="007E410F"/>
    <w:rsid w:val="007F2C0A"/>
    <w:rsid w:val="007F63E4"/>
    <w:rsid w:val="00804692"/>
    <w:rsid w:val="00825AC4"/>
    <w:rsid w:val="00863580"/>
    <w:rsid w:val="00865FD1"/>
    <w:rsid w:val="008917F7"/>
    <w:rsid w:val="00896F1C"/>
    <w:rsid w:val="008A186F"/>
    <w:rsid w:val="008B0898"/>
    <w:rsid w:val="008C3916"/>
    <w:rsid w:val="008C4F08"/>
    <w:rsid w:val="008C5966"/>
    <w:rsid w:val="008D0C34"/>
    <w:rsid w:val="008D2BAA"/>
    <w:rsid w:val="008F421B"/>
    <w:rsid w:val="008F6F5F"/>
    <w:rsid w:val="009403F5"/>
    <w:rsid w:val="00940CF7"/>
    <w:rsid w:val="009423C7"/>
    <w:rsid w:val="00950819"/>
    <w:rsid w:val="00972B1C"/>
    <w:rsid w:val="00974890"/>
    <w:rsid w:val="009816F8"/>
    <w:rsid w:val="00990FCF"/>
    <w:rsid w:val="009B2DAE"/>
    <w:rsid w:val="009D0AA6"/>
    <w:rsid w:val="009D6051"/>
    <w:rsid w:val="009E5A81"/>
    <w:rsid w:val="00A05721"/>
    <w:rsid w:val="00A37636"/>
    <w:rsid w:val="00A45D75"/>
    <w:rsid w:val="00A46ECE"/>
    <w:rsid w:val="00A61BA4"/>
    <w:rsid w:val="00A63FFA"/>
    <w:rsid w:val="00A665D6"/>
    <w:rsid w:val="00A71D24"/>
    <w:rsid w:val="00A74198"/>
    <w:rsid w:val="00A77938"/>
    <w:rsid w:val="00A87798"/>
    <w:rsid w:val="00AA0B7F"/>
    <w:rsid w:val="00AA0E83"/>
    <w:rsid w:val="00AA77CE"/>
    <w:rsid w:val="00AB3BF9"/>
    <w:rsid w:val="00AD72BF"/>
    <w:rsid w:val="00AE56F2"/>
    <w:rsid w:val="00AF3042"/>
    <w:rsid w:val="00B0277B"/>
    <w:rsid w:val="00B06DCD"/>
    <w:rsid w:val="00B27C59"/>
    <w:rsid w:val="00B763BB"/>
    <w:rsid w:val="00B81E3E"/>
    <w:rsid w:val="00B85552"/>
    <w:rsid w:val="00BA2334"/>
    <w:rsid w:val="00BC11BA"/>
    <w:rsid w:val="00BC69C8"/>
    <w:rsid w:val="00BE5304"/>
    <w:rsid w:val="00BF2E50"/>
    <w:rsid w:val="00C40110"/>
    <w:rsid w:val="00C57226"/>
    <w:rsid w:val="00C774FF"/>
    <w:rsid w:val="00C9042F"/>
    <w:rsid w:val="00C935CC"/>
    <w:rsid w:val="00CA5009"/>
    <w:rsid w:val="00CA6BAA"/>
    <w:rsid w:val="00CB4BDA"/>
    <w:rsid w:val="00CB7CD2"/>
    <w:rsid w:val="00CC159D"/>
    <w:rsid w:val="00CD4867"/>
    <w:rsid w:val="00CD5644"/>
    <w:rsid w:val="00CE1264"/>
    <w:rsid w:val="00CE6041"/>
    <w:rsid w:val="00CF25FD"/>
    <w:rsid w:val="00CF6536"/>
    <w:rsid w:val="00D06191"/>
    <w:rsid w:val="00D0757A"/>
    <w:rsid w:val="00D14D38"/>
    <w:rsid w:val="00D2090D"/>
    <w:rsid w:val="00D23308"/>
    <w:rsid w:val="00D36139"/>
    <w:rsid w:val="00D42815"/>
    <w:rsid w:val="00D51A53"/>
    <w:rsid w:val="00D5713C"/>
    <w:rsid w:val="00D601C4"/>
    <w:rsid w:val="00D623F7"/>
    <w:rsid w:val="00D62E42"/>
    <w:rsid w:val="00D70C72"/>
    <w:rsid w:val="00D768BE"/>
    <w:rsid w:val="00D8339E"/>
    <w:rsid w:val="00D948B0"/>
    <w:rsid w:val="00DA7E26"/>
    <w:rsid w:val="00DC166B"/>
    <w:rsid w:val="00DC1F23"/>
    <w:rsid w:val="00E01BB6"/>
    <w:rsid w:val="00E24B81"/>
    <w:rsid w:val="00E5407F"/>
    <w:rsid w:val="00E57BB1"/>
    <w:rsid w:val="00E65513"/>
    <w:rsid w:val="00E70AAC"/>
    <w:rsid w:val="00E75C0C"/>
    <w:rsid w:val="00E852C0"/>
    <w:rsid w:val="00E866CE"/>
    <w:rsid w:val="00E92BCB"/>
    <w:rsid w:val="00E95D08"/>
    <w:rsid w:val="00EA5649"/>
    <w:rsid w:val="00EA750A"/>
    <w:rsid w:val="00ED08BB"/>
    <w:rsid w:val="00ED6540"/>
    <w:rsid w:val="00ED7516"/>
    <w:rsid w:val="00F15766"/>
    <w:rsid w:val="00F15E9E"/>
    <w:rsid w:val="00F2214D"/>
    <w:rsid w:val="00F23DED"/>
    <w:rsid w:val="00F3043A"/>
    <w:rsid w:val="00F31704"/>
    <w:rsid w:val="00F351C2"/>
    <w:rsid w:val="00F61A0C"/>
    <w:rsid w:val="00F65430"/>
    <w:rsid w:val="00F7066B"/>
    <w:rsid w:val="00F80D70"/>
    <w:rsid w:val="00F849C7"/>
    <w:rsid w:val="00F93E44"/>
    <w:rsid w:val="00FA7086"/>
    <w:rsid w:val="00FB7BF1"/>
    <w:rsid w:val="00FC2720"/>
    <w:rsid w:val="00FE0C5F"/>
    <w:rsid w:val="00FE3214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34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41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2B10D6"/>
    <w:rPr>
      <w:rFonts w:cs="Times New Roman"/>
    </w:rPr>
  </w:style>
  <w:style w:type="character" w:styleId="PageNumber">
    <w:name w:val="page number"/>
    <w:basedOn w:val="DefaultParagraphFont"/>
    <w:uiPriority w:val="99"/>
    <w:rsid w:val="00F849C7"/>
    <w:rPr>
      <w:rFonts w:cs="Times New Roman"/>
    </w:rPr>
  </w:style>
  <w:style w:type="paragraph" w:customStyle="1" w:styleId="-">
    <w:name w:val="正文-富瀚"/>
    <w:link w:val="-Char"/>
    <w:uiPriority w:val="99"/>
    <w:rsid w:val="00A61BA4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kern w:val="0"/>
      <w:sz w:val="24"/>
    </w:rPr>
  </w:style>
  <w:style w:type="character" w:customStyle="1" w:styleId="-Char">
    <w:name w:val="正文-富瀚 Char"/>
    <w:link w:val="-"/>
    <w:uiPriority w:val="99"/>
    <w:locked/>
    <w:rsid w:val="00A61BA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150</Words>
  <Characters>855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subject/>
  <dc:creator>joker</dc:creator>
  <cp:keywords/>
  <dc:description/>
  <cp:lastModifiedBy>123</cp:lastModifiedBy>
  <cp:revision>9</cp:revision>
  <dcterms:created xsi:type="dcterms:W3CDTF">2017-04-21T09:25:00Z</dcterms:created>
  <dcterms:modified xsi:type="dcterms:W3CDTF">2017-04-21T09:58:00Z</dcterms:modified>
</cp:coreProperties>
</file>