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34" w:rsidRDefault="007E494F">
      <w:pPr>
        <w:pStyle w:val="NewNew"/>
        <w:spacing w:beforeLines="50" w:before="156" w:afterLines="50" w:after="156" w:line="360" w:lineRule="auto"/>
        <w:jc w:val="center"/>
        <w:rPr>
          <w:rFonts w:ascii="宋体" w:hAnsi="宋体" w:cs="宋体"/>
          <w:bCs/>
          <w:iCs/>
          <w:color w:val="000000"/>
          <w:sz w:val="24"/>
        </w:rPr>
      </w:pPr>
      <w:r>
        <w:rPr>
          <w:rFonts w:ascii="宋体" w:hAnsi="宋体" w:cs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cs="宋体" w:hint="eastAsia"/>
          <w:bCs/>
          <w:iCs/>
          <w:color w:val="000000"/>
          <w:sz w:val="24"/>
        </w:rPr>
        <w:t xml:space="preserve">000026                                   </w:t>
      </w:r>
      <w:r>
        <w:rPr>
          <w:rFonts w:ascii="宋体" w:hAnsi="宋体" w:cs="宋体" w:hint="eastAsia"/>
          <w:bCs/>
          <w:iCs/>
          <w:color w:val="000000"/>
          <w:sz w:val="24"/>
        </w:rPr>
        <w:t>证券简称：飞亚达</w:t>
      </w:r>
      <w:r>
        <w:rPr>
          <w:rFonts w:ascii="宋体" w:hAnsi="宋体" w:cs="宋体" w:hint="eastAsia"/>
          <w:bCs/>
          <w:iCs/>
          <w:color w:val="000000"/>
          <w:sz w:val="24"/>
        </w:rPr>
        <w:t>A</w:t>
      </w:r>
    </w:p>
    <w:p w:rsidR="00B34334" w:rsidRDefault="007E494F">
      <w:pPr>
        <w:pStyle w:val="NewNew"/>
        <w:spacing w:beforeLines="50" w:before="156" w:afterLines="50" w:after="156" w:line="360" w:lineRule="auto"/>
        <w:jc w:val="center"/>
        <w:rPr>
          <w:rFonts w:ascii="宋体" w:hAnsi="宋体" w:cs="宋体"/>
          <w:b/>
          <w:bCs/>
          <w:iCs/>
          <w:color w:val="000000"/>
          <w:sz w:val="24"/>
        </w:rPr>
      </w:pPr>
      <w:r>
        <w:rPr>
          <w:rFonts w:ascii="宋体" w:hAnsi="宋体" w:cs="宋体" w:hint="eastAsia"/>
          <w:b/>
          <w:bCs/>
          <w:iCs/>
          <w:color w:val="000000"/>
          <w:sz w:val="24"/>
        </w:rPr>
        <w:t>飞亚达（集团）股份有限公司投资者关系活动记录表</w:t>
      </w:r>
    </w:p>
    <w:p w:rsidR="00B34334" w:rsidRDefault="007E494F">
      <w:pPr>
        <w:pStyle w:val="NewNew"/>
        <w:spacing w:line="360" w:lineRule="auto"/>
        <w:jc w:val="right"/>
        <w:rPr>
          <w:rFonts w:ascii="宋体" w:hAnsi="宋体" w:cs="宋体"/>
          <w:bCs/>
          <w:iCs/>
          <w:color w:val="000000"/>
          <w:sz w:val="24"/>
        </w:rPr>
      </w:pPr>
      <w:r>
        <w:rPr>
          <w:rFonts w:ascii="宋体" w:hAnsi="宋体" w:cs="宋体" w:hint="eastAsia"/>
          <w:bCs/>
          <w:iCs/>
          <w:color w:val="000000"/>
          <w:sz w:val="24"/>
        </w:rPr>
        <w:t xml:space="preserve">                                                   </w:t>
      </w:r>
      <w:r>
        <w:rPr>
          <w:rFonts w:ascii="宋体" w:hAnsi="宋体" w:cs="宋体" w:hint="eastAsia"/>
          <w:bCs/>
          <w:iCs/>
          <w:color w:val="000000"/>
          <w:sz w:val="24"/>
        </w:rPr>
        <w:t>编号：</w:t>
      </w:r>
      <w:r>
        <w:rPr>
          <w:rFonts w:ascii="宋体" w:hAnsi="宋体" w:cs="宋体" w:hint="eastAsia"/>
          <w:bCs/>
          <w:iCs/>
          <w:color w:val="000000"/>
          <w:sz w:val="24"/>
        </w:rPr>
        <w:t>2017-00</w:t>
      </w:r>
      <w:r>
        <w:rPr>
          <w:rFonts w:ascii="宋体" w:hAnsi="宋体" w:cs="宋体" w:hint="eastAsia"/>
          <w:bCs/>
          <w:iCs/>
          <w:color w:val="000000"/>
          <w:sz w:val="24"/>
        </w:rPr>
        <w:t>3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7508"/>
      </w:tblGrid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cs="宋体" w:hint="eastAsia"/>
                <w:sz w:val="24"/>
              </w:rPr>
              <w:t>特定对象调研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分析师会议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媒体采访</w:t>
            </w: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业绩说明会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新闻发布会</w:t>
            </w: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路演活动</w:t>
            </w:r>
          </w:p>
          <w:p w:rsidR="00B34334" w:rsidRDefault="007E494F">
            <w:pPr>
              <w:pStyle w:val="NewNew"/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现场参观</w:t>
            </w: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一对一沟通</w:t>
            </w:r>
          </w:p>
          <w:p w:rsidR="00B34334" w:rsidRDefault="007E494F">
            <w:pPr>
              <w:pStyle w:val="NewNew"/>
              <w:tabs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其他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sz w:val="24"/>
                <w:u w:val="single"/>
              </w:rPr>
              <w:t>请文字</w:t>
            </w:r>
            <w:proofErr w:type="gramEnd"/>
            <w:r>
              <w:rPr>
                <w:rFonts w:ascii="宋体" w:hAnsi="宋体" w:cs="宋体" w:hint="eastAsia"/>
                <w:sz w:val="24"/>
                <w:u w:val="single"/>
              </w:rPr>
              <w:t>说明其他活动内容）</w:t>
            </w:r>
          </w:p>
        </w:tc>
      </w:tr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申万宏源证券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股份有限公司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信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达澳银基金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管理有限公司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国信证券股份有限公司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深圳市尚诚资产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管理有限责任公司</w:t>
            </w:r>
          </w:p>
        </w:tc>
      </w:tr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15:00-17:00</w:t>
            </w:r>
          </w:p>
        </w:tc>
      </w:tr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飞亚达科技大厦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楼会议室</w:t>
            </w:r>
          </w:p>
        </w:tc>
      </w:tr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陆万军、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张勇、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熊瑶佳</w:t>
            </w:r>
          </w:p>
        </w:tc>
      </w:tr>
      <w:tr w:rsidR="00B34334">
        <w:tc>
          <w:tcPr>
            <w:tcW w:w="2454" w:type="dxa"/>
            <w:vAlign w:val="center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公司一季度报告显示出比较好的趋势，怎么看二季度？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自去年底以来，销售情况出现了一定程度的好转，一季度表现比较明显，至于二季度乃至今年的业绩走向，还要看市场后续发展情况，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很难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做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出比较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准确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的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预判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季报显示整体毛利率略有下降，主要是飞亚达还是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吉利下降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单从亨吉利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和飞亚达表各自的毛利率来看，基本没有大的变化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。由于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吉利毛利率比飞亚达表低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一季度由于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吉利销售增长明显，其销售收入占整体收入比例增加，随着整体收入占比结构发生变化，导致整体毛利率略有下降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一季度名表及飞亚达表有没有进行提价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后面会不会提价？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以往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市场环境较好的情况下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品牌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每年</w:t>
            </w:r>
            <w:proofErr w:type="gramStart"/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会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对手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表进行一定比例的提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lastRenderedPageBreak/>
              <w:t>价是正常现象，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各品牌的提价方案不完全一致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他们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会随着市场发展情况的变化来调节具体策略，市场环境好的时候，提价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对零售商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所带来的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红利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比较明显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这几年市场环境不好，品牌基本上没有提价，一定程度上影响了名表的毛利率。从目前了解的情况看，一季度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品牌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对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提价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方面反应不太一致，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会密切关注市场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及价格变化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变化情况，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及时应对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公司研发费用的预算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公司对研发方面的投入一直以来都十分重视，研发费用占收入的比重也相对稳定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随着销售情况回暖，会不会考虑增加较多员工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公司目前更加重视提质增效、提升单产，在原有业务的基础上不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断提高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运营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效率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，随着开店计划的调整，员工数量会发生</w:t>
            </w:r>
            <w:r w:rsidR="00145C4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微小的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变化，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没有大幅增加员工的计划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吉利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及飞亚达各自经销商的占比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A: 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吉利都是自营，飞亚达表以自营为主，经销商占比呈逐步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提高的趋势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年开店计划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年依然会秉持优化结构、提升单产的理念，控制开店节奏，根据市场情况来稳健、高效的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调整和实施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开店计划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光明物业目前的使用规划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公司光明钟表大厦共有三栋楼，其中两栋自用，一栋出租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自用部分涵盖公司研发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、制造、培训学院、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钟表博物馆、仓储等板块。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公司员工持股有没有计划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lastRenderedPageBreak/>
              <w:t>A: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目前没有计划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公司引入战略投资者目前有没有计划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目前没有计划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增发解禁后机构走了很多吗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季报看没有太大变化？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季报已经披露了一季度参与增发机构的增减持情况，后续机构各自的减持计划，公司目前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尚不清楚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一季度各个区域增长情况如何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哪个区域增长较好？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一季度整体来看，全国各区域销售情况都有比较好的增长，各区域增长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比较均衡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。可以看到，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三四线城市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对品牌的认知程度处在不断提升过程中，显示出较明显的增长潜力。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智能手表目前销售情况怎么样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目前的销售处于百万级别，其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是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做为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飞亚达表的一个系列来销售，未对其进行特殊宣传或特别区分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。现在根据市场的反馈，正逐步对智能手表进行升级和迭代。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吉利和飞亚达的维修业务怎么样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?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吉利维修业务收入总额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相对飞亚达比较高，占其收入比例也比较大，飞亚达表有自有维修品牌卓致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维修业务更多是依托于实体零售店面，因此网点与零售店有较高的重合率，目前来看，收入增长情况都比较理想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公司对顾客群体有没有进行分析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呈现什么变化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趋势？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：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吉利顾客群体以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中青年以上顾客为主，飞亚达顾客群体以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20-35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岁顾客为主，手表零售目前呈现低龄化趋势，且女表占比在逐步提升。</w:t>
            </w:r>
          </w:p>
        </w:tc>
      </w:tr>
      <w:tr w:rsidR="00B34334">
        <w:tc>
          <w:tcPr>
            <w:tcW w:w="2454" w:type="dxa"/>
            <w:vAlign w:val="center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lastRenderedPageBreak/>
              <w:t>附件清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单</w:t>
            </w: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投资者来访承诺书</w:t>
            </w:r>
          </w:p>
        </w:tc>
      </w:tr>
      <w:tr w:rsidR="00B34334">
        <w:tc>
          <w:tcPr>
            <w:tcW w:w="2454" w:type="dxa"/>
            <w:vAlign w:val="center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2017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21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34334" w:rsidRDefault="00B34334"/>
    <w:sectPr w:rsidR="00B34334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F34AA1"/>
    <w:rsid w:val="00145C45"/>
    <w:rsid w:val="005329DE"/>
    <w:rsid w:val="0059701A"/>
    <w:rsid w:val="00644485"/>
    <w:rsid w:val="007E494F"/>
    <w:rsid w:val="00B34334"/>
    <w:rsid w:val="00C46A38"/>
    <w:rsid w:val="00C56E61"/>
    <w:rsid w:val="03E33CB7"/>
    <w:rsid w:val="14B72D66"/>
    <w:rsid w:val="15F34AA1"/>
    <w:rsid w:val="16997733"/>
    <w:rsid w:val="1EC73D38"/>
    <w:rsid w:val="28F12B04"/>
    <w:rsid w:val="3A933E58"/>
    <w:rsid w:val="3E7E6F53"/>
    <w:rsid w:val="54D74280"/>
    <w:rsid w:val="688A1DE2"/>
    <w:rsid w:val="79B841EA"/>
    <w:rsid w:val="7D1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7240BA-5B23-4A67-9DD6-B0DE0269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Pr>
      <w:i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xiongyj</dc:creator>
  <cp:lastModifiedBy>陆万军</cp:lastModifiedBy>
  <cp:revision>2</cp:revision>
  <dcterms:created xsi:type="dcterms:W3CDTF">2017-04-24T06:29:00Z</dcterms:created>
  <dcterms:modified xsi:type="dcterms:W3CDTF">2017-04-24T06:29:00Z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