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C6739">
        <w:tc>
          <w:tcPr>
            <w:tcW w:w="4261" w:type="dxa"/>
          </w:tcPr>
          <w:p w:rsidR="00DC6739" w:rsidRDefault="00F51A60" w:rsidP="00C63327">
            <w:pPr>
              <w:spacing w:beforeLines="50" w:before="156" w:afterLines="50" w:after="156" w:line="40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证券代码</w:t>
            </w:r>
            <w:r>
              <w:rPr>
                <w:rFonts w:hint="eastAsia"/>
                <w:bCs/>
                <w:iCs/>
                <w:sz w:val="24"/>
              </w:rPr>
              <w:t>：</w:t>
            </w:r>
            <w:r>
              <w:rPr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:rsidR="00DC6739" w:rsidRDefault="00F51A60" w:rsidP="00C63327">
            <w:pPr>
              <w:spacing w:beforeLines="50" w:before="156" w:afterLines="50" w:after="156" w:line="400" w:lineRule="exact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证券简称：</w:t>
            </w:r>
            <w:proofErr w:type="gramStart"/>
            <w:r>
              <w:rPr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:rsidR="00DC6739" w:rsidRDefault="00DC6739" w:rsidP="00C63327">
      <w:pPr>
        <w:spacing w:beforeLines="50" w:before="156" w:afterLines="50" w:after="156" w:line="400" w:lineRule="exact"/>
        <w:rPr>
          <w:bCs/>
          <w:iCs/>
          <w:sz w:val="24"/>
        </w:rPr>
      </w:pPr>
    </w:p>
    <w:p w:rsidR="00DC6739" w:rsidRDefault="00F51A60" w:rsidP="00C63327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proofErr w:type="gramStart"/>
      <w:r>
        <w:rPr>
          <w:b/>
          <w:bCs/>
          <w:iCs/>
          <w:sz w:val="36"/>
          <w:szCs w:val="24"/>
        </w:rPr>
        <w:t>牧原食品</w:t>
      </w:r>
      <w:proofErr w:type="gramEnd"/>
      <w:r>
        <w:rPr>
          <w:b/>
          <w:bCs/>
          <w:iCs/>
          <w:sz w:val="36"/>
          <w:szCs w:val="24"/>
        </w:rPr>
        <w:t>股份有限公司</w:t>
      </w:r>
    </w:p>
    <w:p w:rsidR="00DC6739" w:rsidRDefault="00F51A60" w:rsidP="00C63327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r>
        <w:rPr>
          <w:b/>
          <w:bCs/>
          <w:iCs/>
          <w:sz w:val="36"/>
          <w:szCs w:val="24"/>
        </w:rPr>
        <w:t>投资者关系活动记录表</w:t>
      </w:r>
    </w:p>
    <w:p w:rsidR="00DC6739" w:rsidRDefault="00F51A60">
      <w:pPr>
        <w:spacing w:line="400" w:lineRule="exact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编号：</w:t>
      </w:r>
      <w:r w:rsidR="00381347">
        <w:rPr>
          <w:rFonts w:hint="eastAsia"/>
          <w:bCs/>
          <w:iCs/>
          <w:sz w:val="24"/>
          <w:szCs w:val="24"/>
        </w:rPr>
        <w:t>2017-06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DC6739">
        <w:tc>
          <w:tcPr>
            <w:tcW w:w="2943" w:type="dxa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DC6739" w:rsidRDefault="00DC6739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√ </w:t>
            </w:r>
            <w:r>
              <w:rPr>
                <w:sz w:val="24"/>
                <w:szCs w:val="24"/>
              </w:rPr>
              <w:t>特定对象调研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分析师会议</w:t>
            </w:r>
          </w:p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媒体采访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 w:rsidR="00DC6739" w:rsidRDefault="00F51A60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>
              <w:rPr>
                <w:bCs/>
                <w:iCs/>
                <w:sz w:val="24"/>
                <w:szCs w:val="24"/>
              </w:rPr>
              <w:tab/>
            </w:r>
          </w:p>
          <w:p w:rsidR="00DC6739" w:rsidRDefault="00F51A60">
            <w:pPr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其他（</w:t>
            </w:r>
            <w:proofErr w:type="gramStart"/>
            <w:r>
              <w:rPr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sz w:val="24"/>
                <w:szCs w:val="24"/>
                <w:u w:val="single"/>
              </w:rPr>
              <w:t>说明其他活动内容）</w:t>
            </w:r>
          </w:p>
        </w:tc>
      </w:tr>
      <w:tr w:rsidR="00DC6739">
        <w:tc>
          <w:tcPr>
            <w:tcW w:w="2943" w:type="dxa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 w:rsidR="00844C89" w:rsidRDefault="00E434B4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天安财险</w:t>
            </w:r>
            <w:r w:rsidR="009964FF">
              <w:rPr>
                <w:rFonts w:hint="eastAsia"/>
                <w:bCs/>
                <w:iCs/>
                <w:sz w:val="24"/>
                <w:szCs w:val="24"/>
              </w:rPr>
              <w:t>苏扬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东方证券孙伟</w:t>
            </w:r>
            <w:r w:rsidR="00C54DBC">
              <w:rPr>
                <w:rFonts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hint="eastAsia"/>
                <w:bCs/>
                <w:iCs/>
                <w:sz w:val="24"/>
                <w:szCs w:val="24"/>
              </w:rPr>
              <w:t>孙涛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招商证券雷轶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华泰证券潘振亚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东北证券李瑶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bCs/>
                <w:iCs/>
                <w:sz w:val="24"/>
                <w:szCs w:val="24"/>
              </w:rPr>
              <w:t>财资本李</w:t>
            </w:r>
            <w:proofErr w:type="gramEnd"/>
            <w:r>
              <w:rPr>
                <w:rFonts w:hint="eastAsia"/>
                <w:bCs/>
                <w:iCs/>
                <w:sz w:val="24"/>
                <w:szCs w:val="24"/>
              </w:rPr>
              <w:t>壮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金</w:t>
            </w:r>
            <w:proofErr w:type="gramStart"/>
            <w:r>
              <w:rPr>
                <w:rFonts w:hint="eastAsia"/>
                <w:bCs/>
                <w:iCs/>
                <w:sz w:val="24"/>
                <w:szCs w:val="24"/>
              </w:rPr>
              <w:t>舆资产周</w:t>
            </w:r>
            <w:proofErr w:type="gramEnd"/>
            <w:r>
              <w:rPr>
                <w:rFonts w:hint="eastAsia"/>
                <w:bCs/>
                <w:iCs/>
                <w:sz w:val="24"/>
                <w:szCs w:val="24"/>
              </w:rPr>
              <w:t>运剑</w:t>
            </w:r>
          </w:p>
          <w:p w:rsidR="009964FF" w:rsidRDefault="009964F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南山资本赵庆</w:t>
            </w:r>
          </w:p>
          <w:p w:rsidR="009964FF" w:rsidRDefault="005A0F1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圣为资本</w:t>
            </w:r>
            <w:r w:rsidR="00C54DBC">
              <w:rPr>
                <w:rFonts w:hint="eastAsia"/>
                <w:bCs/>
                <w:iCs/>
                <w:sz w:val="24"/>
                <w:szCs w:val="24"/>
              </w:rPr>
              <w:t>袁</w:t>
            </w:r>
            <w:r>
              <w:rPr>
                <w:rFonts w:hint="eastAsia"/>
                <w:bCs/>
                <w:iCs/>
                <w:sz w:val="24"/>
                <w:szCs w:val="24"/>
              </w:rPr>
              <w:t>胜</w:t>
            </w:r>
          </w:p>
          <w:p w:rsidR="005A0F1B" w:rsidRDefault="005A0F1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大连通和张婷婷</w:t>
            </w:r>
          </w:p>
          <w:p w:rsidR="005A0F1B" w:rsidRDefault="005A0F1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iCs/>
                <w:sz w:val="24"/>
                <w:szCs w:val="24"/>
              </w:rPr>
              <w:t>严</w:t>
            </w:r>
            <w:r w:rsidR="00C54DBC">
              <w:rPr>
                <w:rFonts w:hint="eastAsia"/>
                <w:bCs/>
                <w:iCs/>
                <w:sz w:val="24"/>
                <w:szCs w:val="24"/>
              </w:rPr>
              <w:t>海峰</w:t>
            </w:r>
            <w:proofErr w:type="gramEnd"/>
          </w:p>
        </w:tc>
      </w:tr>
      <w:tr w:rsidR="00DC6739">
        <w:tc>
          <w:tcPr>
            <w:tcW w:w="2943" w:type="dxa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</w:t>
            </w:r>
            <w:r>
              <w:rPr>
                <w:rFonts w:hint="eastAsia"/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4465C5">
              <w:rPr>
                <w:rFonts w:hint="eastAsia"/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1241C9">
              <w:rPr>
                <w:rFonts w:hint="eastAsia"/>
                <w:bCs/>
                <w:iCs/>
                <w:sz w:val="24"/>
                <w:szCs w:val="24"/>
              </w:rPr>
              <w:t>1</w:t>
            </w:r>
            <w:r w:rsidR="00381347">
              <w:rPr>
                <w:rFonts w:hint="eastAsia"/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  <w:tr w:rsidR="00DC6739">
        <w:tc>
          <w:tcPr>
            <w:tcW w:w="2943" w:type="dxa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公司总部会议室</w:t>
            </w:r>
          </w:p>
        </w:tc>
      </w:tr>
      <w:tr w:rsidR="00DC6739">
        <w:tc>
          <w:tcPr>
            <w:tcW w:w="2943" w:type="dxa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:rsidR="00381347" w:rsidRDefault="00381347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董事、常务副总经理</w:t>
            </w:r>
            <w:proofErr w:type="gramStart"/>
            <w:r>
              <w:rPr>
                <w:rFonts w:hint="eastAsia"/>
                <w:bCs/>
                <w:iCs/>
                <w:sz w:val="24"/>
                <w:szCs w:val="24"/>
              </w:rPr>
              <w:t>曹治年</w:t>
            </w:r>
            <w:proofErr w:type="gramEnd"/>
          </w:p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董事会秘书、副总经理秦军</w:t>
            </w:r>
          </w:p>
          <w:p w:rsidR="00844C89" w:rsidRDefault="00844C89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证券事务代表曹芳</w:t>
            </w:r>
          </w:p>
        </w:tc>
      </w:tr>
      <w:tr w:rsidR="00DC6739">
        <w:trPr>
          <w:trHeight w:val="1125"/>
        </w:trPr>
        <w:tc>
          <w:tcPr>
            <w:tcW w:w="8758" w:type="dxa"/>
            <w:gridSpan w:val="2"/>
          </w:tcPr>
          <w:p w:rsidR="00BF4EBE" w:rsidRDefault="00BF4EBE" w:rsidP="00BF4EBE">
            <w:pPr>
              <w:pStyle w:val="ab"/>
              <w:spacing w:line="480" w:lineRule="atLeast"/>
              <w:ind w:left="360" w:firstLineChars="0"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会谈内容</w:t>
            </w:r>
          </w:p>
          <w:p w:rsidR="00381347" w:rsidRPr="00381347" w:rsidRDefault="00381347" w:rsidP="00381347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381347">
              <w:rPr>
                <w:rFonts w:hint="eastAsia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．</w:t>
            </w:r>
            <w:r w:rsidRPr="00381347">
              <w:rPr>
                <w:rFonts w:hint="eastAsia"/>
                <w:b/>
                <w:bCs/>
                <w:iCs/>
                <w:sz w:val="24"/>
                <w:szCs w:val="24"/>
              </w:rPr>
              <w:t>现在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生</w:t>
            </w:r>
            <w:r w:rsidR="005E1396" w:rsidRPr="00381347">
              <w:rPr>
                <w:rFonts w:hint="eastAsia"/>
                <w:b/>
                <w:bCs/>
                <w:iCs/>
                <w:sz w:val="24"/>
                <w:szCs w:val="24"/>
              </w:rPr>
              <w:t>猪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养殖行</w:t>
            </w:r>
            <w:r w:rsidRPr="00381347">
              <w:rPr>
                <w:rFonts w:hint="eastAsia"/>
                <w:b/>
                <w:bCs/>
                <w:iCs/>
                <w:sz w:val="24"/>
                <w:szCs w:val="24"/>
              </w:rPr>
              <w:t>业的特征？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为什么公司在周期低谷</w:t>
            </w:r>
            <w:proofErr w:type="gramStart"/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期依然</w:t>
            </w:r>
            <w:proofErr w:type="gramEnd"/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扩张建设？</w:t>
            </w:r>
          </w:p>
          <w:p w:rsidR="005E1396" w:rsidRDefault="005E1396" w:rsidP="005E1396">
            <w:pPr>
              <w:spacing w:line="480" w:lineRule="atLeas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 w:rsidRPr="005E1396">
              <w:rPr>
                <w:rFonts w:ascii="宋体" w:hAnsi="宋体"/>
                <w:bCs/>
                <w:sz w:val="24"/>
                <w:szCs w:val="24"/>
              </w:rPr>
              <w:t>我国生猪养殖行业主要具备以下特征：</w:t>
            </w:r>
          </w:p>
          <w:p w:rsidR="00381347" w:rsidRPr="00381347" w:rsidRDefault="00C63327" w:rsidP="00381347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行业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容量大：中国是世界上最大的生猪生产国和消费国，每年出栏的生猪在</w:t>
            </w:r>
            <w:r w:rsidR="00381347" w:rsidRPr="00381347">
              <w:rPr>
                <w:rFonts w:ascii="宋体" w:hAnsi="宋体"/>
                <w:bCs/>
                <w:sz w:val="24"/>
                <w:szCs w:val="24"/>
              </w:rPr>
              <w:t>7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亿头左右，需求较为稳定。</w:t>
            </w:r>
          </w:p>
          <w:p w:rsidR="00381347" w:rsidRPr="00381347" w:rsidRDefault="00C63327" w:rsidP="00381347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行业走向规模化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：随着</w:t>
            </w:r>
            <w:r w:rsidR="00BD7CAF">
              <w:rPr>
                <w:rFonts w:ascii="宋体" w:hAnsi="宋体" w:hint="eastAsia"/>
                <w:bCs/>
                <w:sz w:val="24"/>
                <w:szCs w:val="24"/>
              </w:rPr>
              <w:t>环保政策的趋严、土地资源的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限制</w:t>
            </w:r>
            <w:r w:rsidR="00BD7CAF">
              <w:rPr>
                <w:rFonts w:ascii="宋体" w:hAnsi="宋体" w:hint="eastAsia"/>
                <w:bCs/>
                <w:sz w:val="24"/>
                <w:szCs w:val="24"/>
              </w:rPr>
              <w:t>等因素，大规模标准化的养殖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模式</w:t>
            </w:r>
            <w:r w:rsidR="00BD7CAF">
              <w:rPr>
                <w:rFonts w:ascii="宋体" w:hAnsi="宋体" w:hint="eastAsia"/>
                <w:bCs/>
                <w:sz w:val="24"/>
                <w:szCs w:val="24"/>
              </w:rPr>
              <w:t>是行业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发展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的必然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趋势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近年来行业的集中度逐步提高，</w:t>
            </w:r>
            <w:r w:rsidR="00381347" w:rsidRPr="00381347">
              <w:rPr>
                <w:rFonts w:ascii="宋体" w:hAnsi="宋体"/>
                <w:bCs/>
                <w:sz w:val="24"/>
                <w:szCs w:val="24"/>
              </w:rPr>
              <w:t>2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016年中国前十大生猪养殖企业的市场占有率在4.3%左右，</w:t>
            </w:r>
            <w:r w:rsidR="00BD7CAF">
              <w:rPr>
                <w:rFonts w:ascii="宋体" w:hAnsi="宋体" w:hint="eastAsia"/>
                <w:bCs/>
                <w:sz w:val="24"/>
                <w:szCs w:val="24"/>
              </w:rPr>
              <w:t>参照发达国家历史经验，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未来还有很大的提升空间。</w:t>
            </w:r>
          </w:p>
          <w:p w:rsidR="00381347" w:rsidRPr="00381347" w:rsidRDefault="00C63327" w:rsidP="00381347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劳动效率提高。规模化的养殖、自动化的设备必然带来人工效率的提高，目前公司在育肥阶段，每个饲养员可以同时饲养</w:t>
            </w:r>
            <w:r w:rsidR="00381347" w:rsidRPr="00381347">
              <w:rPr>
                <w:rFonts w:ascii="宋体" w:hAnsi="宋体"/>
                <w:bCs/>
                <w:sz w:val="24"/>
                <w:szCs w:val="24"/>
              </w:rPr>
              <w:t>2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,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700</w:t>
            </w:r>
            <w:r w:rsidR="005E1396">
              <w:rPr>
                <w:rFonts w:ascii="宋体" w:hAnsi="宋体"/>
                <w:bCs/>
                <w:sz w:val="24"/>
                <w:szCs w:val="24"/>
              </w:rPr>
              <w:t>—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,</w:t>
            </w:r>
            <w:r w:rsidR="00381347" w:rsidRPr="00381347">
              <w:rPr>
                <w:rFonts w:ascii="宋体" w:hAnsi="宋体" w:hint="eastAsia"/>
                <w:bCs/>
                <w:sz w:val="24"/>
                <w:szCs w:val="24"/>
              </w:rPr>
              <w:t>600头，处于行业前列。</w:t>
            </w:r>
          </w:p>
          <w:p w:rsidR="005E1396" w:rsidRDefault="005E1396" w:rsidP="00BD7CAF">
            <w:pPr>
              <w:spacing w:line="480" w:lineRule="atLeas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  <w:r w:rsidRPr="005E1396">
              <w:rPr>
                <w:rFonts w:ascii="宋体" w:hAnsi="宋体"/>
                <w:bCs/>
                <w:sz w:val="24"/>
                <w:szCs w:val="24"/>
              </w:rPr>
              <w:t>中国的养猪业正在从传统的低水平、散养为主的模式，转轨到集约化、机械化、自动化、 标准化、信息化的生产方式上来，并且近几年呈现加速转变的趋势，规模化养猪还将有持续数年的高成长期，这将给公司带来快速发展的机遇。</w:t>
            </w:r>
          </w:p>
          <w:p w:rsidR="00BD7CAF" w:rsidRPr="00BD7CAF" w:rsidRDefault="00BD7CAF" w:rsidP="00BD7CAF">
            <w:pPr>
              <w:spacing w:line="480" w:lineRule="atLeast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034320" w:rsidRDefault="00F51A60" w:rsidP="0035150E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．</w:t>
            </w:r>
            <w:r w:rsidR="00381347" w:rsidRPr="00381347">
              <w:rPr>
                <w:rFonts w:hint="eastAsia"/>
                <w:b/>
                <w:bCs/>
                <w:iCs/>
                <w:sz w:val="24"/>
                <w:szCs w:val="24"/>
              </w:rPr>
              <w:t>环保的因素对猪周期的影响？</w:t>
            </w:r>
          </w:p>
          <w:p w:rsidR="005E1396" w:rsidRDefault="00381347" w:rsidP="00C10DB6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81347">
              <w:rPr>
                <w:rFonts w:ascii="宋体" w:hAnsi="宋体" w:hint="eastAsia"/>
                <w:sz w:val="24"/>
                <w:szCs w:val="24"/>
              </w:rPr>
              <w:t>近年来的环保处理力度</w:t>
            </w:r>
            <w:r w:rsidR="005E1396">
              <w:rPr>
                <w:rFonts w:ascii="宋体" w:hAnsi="宋体" w:hint="eastAsia"/>
                <w:sz w:val="24"/>
                <w:szCs w:val="24"/>
              </w:rPr>
              <w:t>之大</w:t>
            </w:r>
            <w:r w:rsidRPr="00381347">
              <w:rPr>
                <w:rFonts w:ascii="宋体" w:hAnsi="宋体" w:hint="eastAsia"/>
                <w:sz w:val="24"/>
                <w:szCs w:val="24"/>
              </w:rPr>
              <w:t>，这也是猪价在高位区</w:t>
            </w:r>
            <w:proofErr w:type="gramStart"/>
            <w:r w:rsidRPr="00381347">
              <w:rPr>
                <w:rFonts w:ascii="宋体" w:hAnsi="宋体" w:hint="eastAsia"/>
                <w:sz w:val="24"/>
                <w:szCs w:val="24"/>
              </w:rPr>
              <w:t>间时间</w:t>
            </w:r>
            <w:proofErr w:type="gramEnd"/>
            <w:r w:rsidRPr="00381347">
              <w:rPr>
                <w:rFonts w:ascii="宋体" w:hAnsi="宋体" w:hint="eastAsia"/>
                <w:sz w:val="24"/>
                <w:szCs w:val="24"/>
              </w:rPr>
              <w:t>较长的原因之一。</w:t>
            </w:r>
            <w:r w:rsidR="005E1396">
              <w:rPr>
                <w:rFonts w:ascii="宋体" w:hAnsi="宋体" w:hint="eastAsia"/>
                <w:sz w:val="24"/>
                <w:szCs w:val="24"/>
              </w:rPr>
              <w:t>同时，</w:t>
            </w:r>
            <w:r>
              <w:rPr>
                <w:rFonts w:ascii="宋体" w:hAnsi="宋体" w:hint="eastAsia"/>
                <w:sz w:val="24"/>
                <w:szCs w:val="24"/>
              </w:rPr>
              <w:t>环保的趋严有助于行业</w:t>
            </w:r>
            <w:r w:rsidR="005E1396">
              <w:rPr>
                <w:rFonts w:ascii="宋体" w:hAnsi="宋体" w:hint="eastAsia"/>
                <w:sz w:val="24"/>
                <w:szCs w:val="24"/>
              </w:rPr>
              <w:t>发展的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规范</w:t>
            </w:r>
            <w:r w:rsidR="005E1396">
              <w:rPr>
                <w:rFonts w:ascii="宋体" w:hAnsi="宋体" w:hint="eastAsia"/>
                <w:sz w:val="24"/>
                <w:szCs w:val="24"/>
              </w:rPr>
              <w:t>化</w:t>
            </w:r>
            <w:r w:rsidR="005A0F1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5150E" w:rsidRPr="00034320" w:rsidRDefault="005A0F1B" w:rsidP="005E1396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环保是否成为养猪行业的约束要辩证的看待，目前</w:t>
            </w:r>
            <w:r w:rsidR="00034320" w:rsidRPr="00034320">
              <w:rPr>
                <w:rFonts w:ascii="宋体" w:hAnsi="宋体" w:hint="eastAsia"/>
                <w:sz w:val="24"/>
                <w:szCs w:val="24"/>
              </w:rPr>
              <w:t>严格的环保政策，反而成为了公司发展的核心优势之一。</w:t>
            </w:r>
          </w:p>
          <w:p w:rsidR="00DC6739" w:rsidRPr="0035150E" w:rsidRDefault="0035150E" w:rsidP="003D5F9E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5150E">
              <w:rPr>
                <w:rFonts w:ascii="宋体" w:hAnsi="宋体" w:hint="eastAsia"/>
                <w:sz w:val="24"/>
                <w:szCs w:val="24"/>
              </w:rPr>
              <w:t>公司根据自己的生产特点，探索出了符合实际的环保模式。在环保方面有成熟的工艺，不但符合国家的相关环保要求，而且做到了资源循环利用，实现了“种-养循环”，沼液作为液态肥还田，减少化肥的使用，有利于改善土质</w:t>
            </w:r>
            <w:r w:rsidR="00F51A60" w:rsidRPr="0035150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DC6739" w:rsidRDefault="00DC6739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  <w:p w:rsidR="001241C9" w:rsidRPr="001241C9" w:rsidRDefault="00F51A60" w:rsidP="001241C9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．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公司在</w:t>
            </w:r>
            <w:r w:rsidR="001241C9" w:rsidRPr="001241C9">
              <w:rPr>
                <w:rFonts w:hint="eastAsia"/>
                <w:b/>
                <w:bCs/>
                <w:iCs/>
                <w:sz w:val="24"/>
                <w:szCs w:val="24"/>
              </w:rPr>
              <w:t>河北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省</w:t>
            </w:r>
            <w:r w:rsidR="001241C9" w:rsidRPr="001241C9">
              <w:rPr>
                <w:rFonts w:hint="eastAsia"/>
                <w:b/>
                <w:bCs/>
                <w:iCs/>
                <w:sz w:val="24"/>
                <w:szCs w:val="24"/>
              </w:rPr>
              <w:t>的</w:t>
            </w:r>
            <w:r w:rsidR="005E1396">
              <w:rPr>
                <w:rFonts w:hint="eastAsia"/>
                <w:b/>
                <w:bCs/>
                <w:iCs/>
                <w:sz w:val="24"/>
                <w:szCs w:val="24"/>
              </w:rPr>
              <w:t>发展</w:t>
            </w:r>
            <w:r w:rsidR="001241C9" w:rsidRPr="001241C9">
              <w:rPr>
                <w:rFonts w:hint="eastAsia"/>
                <w:b/>
                <w:bCs/>
                <w:iCs/>
                <w:sz w:val="24"/>
                <w:szCs w:val="24"/>
              </w:rPr>
              <w:t>规划？</w:t>
            </w:r>
          </w:p>
          <w:p w:rsidR="001241C9" w:rsidRPr="001241C9" w:rsidRDefault="001241C9" w:rsidP="001241C9">
            <w:pPr>
              <w:spacing w:line="48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按照《全国生猪生产发展规划</w:t>
            </w:r>
            <w:r w:rsidRPr="001241C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016-2020》的划分，全国分为重点发展区、潜力增长区、约束发展区、适度发展区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河北属于重点发展区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河北具有良好的粮食资源和消费市场，目前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公司在河北已经成立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4个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全资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子公司</w:t>
            </w:r>
            <w:r w:rsidR="005E139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1241C9">
              <w:rPr>
                <w:rFonts w:ascii="宋体" w:hAnsi="宋体" w:hint="eastAsia"/>
                <w:bCs/>
                <w:sz w:val="24"/>
                <w:szCs w:val="24"/>
              </w:rPr>
              <w:t>新河牧原、广宗牧原、海兴牧原、馆陶牧原。</w:t>
            </w:r>
          </w:p>
          <w:p w:rsidR="000031EC" w:rsidRDefault="000031EC" w:rsidP="000031EC">
            <w:pPr>
              <w:spacing w:line="480" w:lineRule="atLeast"/>
              <w:rPr>
                <w:rFonts w:ascii="宋体" w:hAnsi="宋体"/>
                <w:sz w:val="24"/>
                <w:szCs w:val="24"/>
              </w:rPr>
            </w:pPr>
          </w:p>
          <w:p w:rsidR="001241C9" w:rsidRPr="001241C9" w:rsidRDefault="000031EC" w:rsidP="001241C9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．</w:t>
            </w:r>
            <w:r w:rsidR="001241C9" w:rsidRPr="001241C9">
              <w:rPr>
                <w:rFonts w:hint="eastAsia"/>
                <w:b/>
                <w:bCs/>
                <w:iCs/>
                <w:sz w:val="24"/>
                <w:szCs w:val="24"/>
              </w:rPr>
              <w:t>公司的成本控制行业领先，主要是什么原因？</w:t>
            </w:r>
          </w:p>
          <w:p w:rsidR="001241C9" w:rsidRPr="001241C9" w:rsidRDefault="001241C9" w:rsidP="001241C9">
            <w:pPr>
              <w:spacing w:line="480" w:lineRule="atLeast"/>
              <w:ind w:firstLineChars="200" w:firstLine="480"/>
              <w:rPr>
                <w:bCs/>
                <w:iCs/>
                <w:sz w:val="24"/>
                <w:szCs w:val="24"/>
              </w:rPr>
            </w:pPr>
            <w:r w:rsidRPr="001241C9">
              <w:rPr>
                <w:rFonts w:hint="eastAsia"/>
                <w:bCs/>
                <w:iCs/>
                <w:sz w:val="24"/>
                <w:szCs w:val="24"/>
              </w:rPr>
              <w:t>公司的成本控制能力主要体现在以下几个方面：</w:t>
            </w:r>
          </w:p>
          <w:p w:rsidR="001241C9" w:rsidRPr="001241C9" w:rsidRDefault="005E1396" w:rsidP="001241C9">
            <w:pPr>
              <w:spacing w:line="480" w:lineRule="atLeast"/>
              <w:ind w:firstLineChars="200" w:firstLine="48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（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hint="eastAsia"/>
                <w:bCs/>
                <w:iCs/>
                <w:sz w:val="24"/>
                <w:szCs w:val="24"/>
              </w:rPr>
              <w:t>）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原粮和饲料方面。子公司布局在粮食主产区，原则上就近收购原粮，</w:t>
            </w:r>
            <w:r>
              <w:rPr>
                <w:rFonts w:hint="eastAsia"/>
                <w:bCs/>
                <w:iCs/>
                <w:sz w:val="24"/>
                <w:szCs w:val="24"/>
              </w:rPr>
              <w:t>运输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成本较低；营养团队研发出精细化的配方，在保证营养需求的基础上减少营养浪费；公司在每个子公司设置自有的饲料厂，散装运输</w:t>
            </w:r>
            <w:proofErr w:type="gramStart"/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且运输</w:t>
            </w:r>
            <w:proofErr w:type="gramEnd"/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半径相对较小，节省了部分成本。</w:t>
            </w:r>
          </w:p>
          <w:p w:rsidR="001241C9" w:rsidRPr="001241C9" w:rsidRDefault="005E1396" w:rsidP="001241C9">
            <w:pPr>
              <w:spacing w:line="480" w:lineRule="atLeast"/>
              <w:ind w:firstLineChars="200" w:firstLine="48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（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hint="eastAsia"/>
                <w:bCs/>
                <w:iCs/>
                <w:sz w:val="24"/>
                <w:szCs w:val="24"/>
              </w:rPr>
              <w:t>）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劳动效率高。</w:t>
            </w:r>
            <w:r w:rsidRPr="005E1396">
              <w:rPr>
                <w:bCs/>
                <w:iCs/>
                <w:sz w:val="24"/>
                <w:szCs w:val="24"/>
              </w:rPr>
              <w:t>公司自行研制的自动化饲喂系统，大大提高了生产效率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，在育肥阶段每个饲养员可以同时饲养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hint="eastAsia"/>
                <w:bCs/>
                <w:iCs/>
                <w:sz w:val="24"/>
                <w:szCs w:val="24"/>
              </w:rPr>
              <w:t>,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700-3</w:t>
            </w:r>
            <w:r>
              <w:rPr>
                <w:rFonts w:hint="eastAsia"/>
                <w:bCs/>
                <w:iCs/>
                <w:sz w:val="24"/>
                <w:szCs w:val="24"/>
              </w:rPr>
              <w:t>,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600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头育肥猪。</w:t>
            </w:r>
          </w:p>
          <w:p w:rsidR="001241C9" w:rsidRPr="001241C9" w:rsidRDefault="005E1396" w:rsidP="001241C9">
            <w:pPr>
              <w:spacing w:line="480" w:lineRule="atLeast"/>
              <w:ind w:firstLineChars="200" w:firstLine="48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（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sz w:val="24"/>
                <w:szCs w:val="24"/>
              </w:rPr>
              <w:t>）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现场管理。生猪养殖是对现场管理要求较高的行业，在我们不断提高产仔率、</w:t>
            </w:r>
            <w:r>
              <w:rPr>
                <w:rFonts w:hint="eastAsia"/>
                <w:bCs/>
                <w:iCs/>
                <w:sz w:val="24"/>
                <w:szCs w:val="24"/>
              </w:rPr>
              <w:t>降低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料肉比等生产指标的基础上，饲养员严格按照作业标准，控制水电的消耗，公司</w:t>
            </w:r>
            <w:r>
              <w:rPr>
                <w:rFonts w:hint="eastAsia"/>
                <w:bCs/>
                <w:iCs/>
                <w:sz w:val="24"/>
                <w:szCs w:val="24"/>
              </w:rPr>
              <w:t>制定严格的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考核</w:t>
            </w:r>
            <w:r>
              <w:rPr>
                <w:rFonts w:hint="eastAsia"/>
                <w:bCs/>
                <w:iCs/>
                <w:sz w:val="24"/>
                <w:szCs w:val="24"/>
              </w:rPr>
              <w:t>标准</w:t>
            </w:r>
            <w:r w:rsidR="001241C9" w:rsidRPr="001241C9">
              <w:rPr>
                <w:rFonts w:hint="eastAsia"/>
                <w:bCs/>
                <w:iCs/>
                <w:sz w:val="24"/>
                <w:szCs w:val="24"/>
              </w:rPr>
              <w:t>，降低了部分成本。</w:t>
            </w:r>
          </w:p>
          <w:p w:rsidR="00BF4EBE" w:rsidRDefault="00BF4EBE" w:rsidP="00BF4EBE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  <w:p w:rsidR="001241C9" w:rsidRPr="001241C9" w:rsidRDefault="00BF4EBE" w:rsidP="00BD7CAF">
            <w:pPr>
              <w:pStyle w:val="ac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iCs/>
                <w:kern w:val="2"/>
              </w:rPr>
            </w:pPr>
            <w:r>
              <w:rPr>
                <w:rFonts w:hint="eastAsia"/>
                <w:b/>
                <w:bCs/>
                <w:iCs/>
              </w:rPr>
              <w:t>5</w:t>
            </w:r>
            <w:r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．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 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根据</w:t>
            </w:r>
            <w:r w:rsidR="001241C9" w:rsidRPr="001241C9">
              <w:rPr>
                <w:rFonts w:ascii="Times New Roman" w:hAnsi="Times New Roman" w:cs="Times New Roman"/>
                <w:b/>
                <w:bCs/>
                <w:iCs/>
                <w:kern w:val="2"/>
              </w:rPr>
              <w:t>2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016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年年报，公司布局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12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省，员工人数超过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17</w:t>
            </w:r>
            <w:r w:rsidR="005E1396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,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000</w:t>
            </w:r>
            <w:r w:rsid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人，庞</w:t>
            </w:r>
            <w:r w:rsidR="001241C9" w:rsidRPr="001241C9">
              <w:rPr>
                <w:rFonts w:ascii="Times New Roman" w:hAnsi="Times New Roman" w:cs="Times New Roman" w:hint="eastAsia"/>
                <w:b/>
                <w:bCs/>
                <w:iCs/>
                <w:kern w:val="2"/>
              </w:rPr>
              <w:t>大的员工数量以及异地扩张是否带来管理难度？</w:t>
            </w:r>
          </w:p>
          <w:p w:rsidR="001241C9" w:rsidRPr="001241C9" w:rsidRDefault="001241C9" w:rsidP="001241C9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>
              <w:rPr>
                <w:rFonts w:cs="Calibri" w:hint="eastAsia"/>
              </w:rPr>
              <w:t>近</w:t>
            </w:r>
            <w:r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年来公司快速的发展速度和严格的质量要求，对人才和管理提出了更高的要求。公司在重视育种、生产、防疫等技术研发的同时，对经营和管理也制订了更高的标准。</w:t>
            </w:r>
          </w:p>
          <w:p w:rsidR="001241C9" w:rsidRPr="001241C9" w:rsidRDefault="00C63327" w:rsidP="001241C9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1</w:t>
            </w: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重视信息化建设。公司从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2013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年开始上线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ERP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系统，运用信息化进行管理。养猪环节，公司开发了生产管理系统，对养殖过程进行详细的追踪和记录，保障食品安全，同时作为饲养员绩效考核的基础。公司还开发了工程管理系统、财务管理系统、人力资源系统、电子采购系统等，信息化保证了众多子公司的规范化、标准化管理。</w:t>
            </w:r>
          </w:p>
          <w:p w:rsidR="001241C9" w:rsidRPr="001241C9" w:rsidRDefault="00C63327" w:rsidP="001241C9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2</w:t>
            </w: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推进标准化管理。公司早些年已在内</w:t>
            </w:r>
            <w:proofErr w:type="gramStart"/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乡完成</w:t>
            </w:r>
            <w:proofErr w:type="gramEnd"/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了标准化模型的建立，在环保、食品安全和劳动效率等方面保持着优势，这也是近两年来快速发展的前提和保障。同时，公司已在全国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12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个省区设立了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51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个全资子公司，成功复制母公司的发展养殖模式，实现标准化管理。</w:t>
            </w:r>
          </w:p>
          <w:p w:rsidR="001241C9" w:rsidRPr="001241C9" w:rsidRDefault="00C63327" w:rsidP="001241C9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3</w:t>
            </w:r>
            <w:r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bookmarkStart w:id="0" w:name="_GoBack"/>
            <w:bookmarkEnd w:id="0"/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注重人才的培养。立足于公司的长远发展，着力人才培训体系建设和员工业务技能提升的基础上，积极引进外部资源，和国际知名的管理咨询机构和专家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lastRenderedPageBreak/>
              <w:t>保持常态化的交流，使公司的员工视野更加开拓；并且公司已经成功实施两期员工持股计划，人数达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700</w:t>
            </w:r>
            <w:r w:rsidR="001241C9" w:rsidRP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余人，有助于提高员工的凝聚力和公司竞争力，能够有效调动员工的积极性和创造性，从而促进公司长期、持续、健康发</w:t>
            </w:r>
            <w:r w:rsidR="001241C9">
              <w:rPr>
                <w:rFonts w:ascii="Times New Roman" w:hAnsi="Times New Roman" w:cs="Times New Roman" w:hint="eastAsia"/>
                <w:bCs/>
                <w:iCs/>
                <w:kern w:val="2"/>
              </w:rPr>
              <w:t>展。</w:t>
            </w:r>
          </w:p>
          <w:p w:rsidR="00CB4FE3" w:rsidRPr="001850DF" w:rsidRDefault="00CB4FE3" w:rsidP="001850DF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eastAsia="Times New Roman"/>
                <w:kern w:val="0"/>
                <w:sz w:val="24"/>
                <w:szCs w:val="24"/>
                <w:lang w:val="zh-CN"/>
              </w:rPr>
            </w:pPr>
          </w:p>
          <w:p w:rsidR="007066C1" w:rsidRPr="00CB4FE3" w:rsidRDefault="005E1396" w:rsidP="00C10DB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6</w:t>
            </w:r>
            <w:r w:rsidR="00CB4FE3">
              <w:rPr>
                <w:rFonts w:hint="eastAsia"/>
                <w:b/>
                <w:bCs/>
                <w:iCs/>
                <w:sz w:val="24"/>
                <w:szCs w:val="24"/>
              </w:rPr>
              <w:t>．</w:t>
            </w:r>
            <w:r w:rsidR="001241C9">
              <w:rPr>
                <w:rFonts w:hint="eastAsia"/>
                <w:b/>
                <w:bCs/>
                <w:iCs/>
                <w:sz w:val="24"/>
                <w:szCs w:val="24"/>
              </w:rPr>
              <w:t>未来</w:t>
            </w:r>
            <w:r>
              <w:rPr>
                <w:rFonts w:hint="eastAsia"/>
                <w:b/>
                <w:bCs/>
                <w:iCs/>
                <w:sz w:val="24"/>
                <w:szCs w:val="24"/>
              </w:rPr>
              <w:t>公司</w:t>
            </w:r>
            <w:r w:rsidR="001241C9">
              <w:rPr>
                <w:rFonts w:hint="eastAsia"/>
                <w:b/>
                <w:bCs/>
                <w:iCs/>
                <w:sz w:val="24"/>
                <w:szCs w:val="24"/>
              </w:rPr>
              <w:t>是否考虑向行业上下游发展？</w:t>
            </w:r>
          </w:p>
          <w:p w:rsidR="001241C9" w:rsidRPr="001241C9" w:rsidRDefault="005B4B41" w:rsidP="00C10DB6">
            <w:pPr>
              <w:autoSpaceDE w:val="0"/>
              <w:autoSpaceDN w:val="0"/>
              <w:adjustRightInd w:val="0"/>
              <w:spacing w:line="360" w:lineRule="auto"/>
              <w:ind w:firstLine="482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现阶段行业的集中度较低，公司主要集中</w:t>
            </w:r>
            <w:r w:rsidR="005E1396">
              <w:rPr>
                <w:rFonts w:hint="eastAsia"/>
                <w:bCs/>
                <w:iCs/>
                <w:sz w:val="24"/>
                <w:szCs w:val="24"/>
              </w:rPr>
              <w:t>于生猪生产：</w:t>
            </w:r>
          </w:p>
          <w:p w:rsidR="007066C1" w:rsidRPr="005E1396" w:rsidRDefault="005E1396" w:rsidP="005E1396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1</w:t>
            </w: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r w:rsidRPr="005E1396">
              <w:rPr>
                <w:rFonts w:ascii="Times New Roman" w:hAnsi="Times New Roman" w:cs="Times New Roman"/>
                <w:bCs/>
                <w:iCs/>
                <w:kern w:val="2"/>
              </w:rPr>
              <w:t>进一步加强公司的防疫技术和营养技术，提高生猪品质，为终端消费者提供安全、高品质的优质猪肉，巩固公司在国内生猪品质方面的领先地位；</w:t>
            </w:r>
          </w:p>
          <w:p w:rsidR="005E1396" w:rsidRPr="005E1396" w:rsidRDefault="005E1396" w:rsidP="005E1396">
            <w:pPr>
              <w:pStyle w:val="ac"/>
              <w:spacing w:before="0" w:beforeAutospacing="0" w:after="0" w:afterAutospacing="0" w:line="480" w:lineRule="atLeast"/>
              <w:ind w:firstLineChars="200" w:firstLine="480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2</w:t>
            </w: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r>
              <w:rPr>
                <w:rFonts w:ascii="Times New Roman" w:hAnsi="Times New Roman" w:cs="Times New Roman"/>
                <w:bCs/>
                <w:iCs/>
                <w:kern w:val="2"/>
              </w:rPr>
              <w:t>坚持以鲜肉消费的终端市场需要为育种方向</w:t>
            </w:r>
            <w:r w:rsidRPr="005E1396">
              <w:rPr>
                <w:rFonts w:ascii="Times New Roman" w:hAnsi="Times New Roman" w:cs="Times New Roman"/>
                <w:bCs/>
                <w:iCs/>
                <w:kern w:val="2"/>
              </w:rPr>
              <w:t>，使公司成为国内规模和技术领先的育种企业；</w:t>
            </w:r>
            <w:r w:rsidRPr="005E1396">
              <w:rPr>
                <w:rFonts w:ascii="Times New Roman" w:hAnsi="Times New Roman" w:cs="Times New Roman"/>
                <w:bCs/>
                <w:iCs/>
                <w:kern w:val="2"/>
              </w:rPr>
              <w:t xml:space="preserve"> </w:t>
            </w:r>
          </w:p>
          <w:p w:rsidR="005E1396" w:rsidRPr="005E1396" w:rsidRDefault="005E1396" w:rsidP="005E1396">
            <w:pPr>
              <w:pStyle w:val="ac"/>
              <w:spacing w:before="0" w:beforeAutospacing="0" w:after="0" w:afterAutospacing="0" w:line="480" w:lineRule="atLeast"/>
              <w:ind w:firstLineChars="200" w:firstLine="480"/>
            </w:pP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（</w:t>
            </w:r>
            <w:r w:rsidRPr="005E1396">
              <w:rPr>
                <w:rFonts w:ascii="Times New Roman" w:hAnsi="Times New Roman" w:cs="Times New Roman"/>
                <w:bCs/>
                <w:iCs/>
                <w:kern w:val="2"/>
              </w:rPr>
              <w:t>3</w:t>
            </w:r>
            <w:r w:rsidRPr="005E1396">
              <w:rPr>
                <w:rFonts w:ascii="Times New Roman" w:hAnsi="Times New Roman" w:cs="Times New Roman" w:hint="eastAsia"/>
                <w:bCs/>
                <w:iCs/>
                <w:kern w:val="2"/>
              </w:rPr>
              <w:t>）</w:t>
            </w:r>
            <w:r w:rsidRPr="005E1396">
              <w:rPr>
                <w:rFonts w:ascii="Times New Roman" w:hAnsi="Times New Roman" w:cs="Times New Roman"/>
                <w:bCs/>
                <w:iCs/>
                <w:kern w:val="2"/>
              </w:rPr>
              <w:t>扩大生产规模，进一步发挥公司大规模一体化经营模式的优越性，使公司发展成为中国重要的优质生猪供应商。</w:t>
            </w:r>
          </w:p>
        </w:tc>
      </w:tr>
      <w:tr w:rsidR="00DC6739">
        <w:tc>
          <w:tcPr>
            <w:tcW w:w="2943" w:type="dxa"/>
            <w:vAlign w:val="center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:rsidR="00DC6739" w:rsidRDefault="00DC6739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DC6739">
        <w:tc>
          <w:tcPr>
            <w:tcW w:w="2943" w:type="dxa"/>
            <w:vAlign w:val="center"/>
          </w:tcPr>
          <w:p w:rsidR="00DC6739" w:rsidRDefault="00F51A60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:rsidR="00DC6739" w:rsidRDefault="00F51A6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2017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844C89">
              <w:rPr>
                <w:rFonts w:hint="eastAsia"/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BD7CAF">
              <w:rPr>
                <w:rFonts w:hint="eastAsia"/>
                <w:bCs/>
                <w:iCs/>
                <w:sz w:val="24"/>
                <w:szCs w:val="24"/>
              </w:rPr>
              <w:t>19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:rsidR="00DC6739" w:rsidRDefault="00DC6739"/>
    <w:sectPr w:rsidR="00DC6739" w:rsidSect="00BC3B14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F5" w:rsidRDefault="00876EF5">
      <w:r>
        <w:separator/>
      </w:r>
    </w:p>
  </w:endnote>
  <w:endnote w:type="continuationSeparator" w:id="0">
    <w:p w:rsidR="00876EF5" w:rsidRDefault="0087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F5" w:rsidRDefault="00876EF5">
      <w:r>
        <w:separator/>
      </w:r>
    </w:p>
  </w:footnote>
  <w:footnote w:type="continuationSeparator" w:id="0">
    <w:p w:rsidR="00876EF5" w:rsidRDefault="0087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39" w:rsidRDefault="00DC6739" w:rsidP="000D37A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31"/>
    <w:multiLevelType w:val="multilevel"/>
    <w:tmpl w:val="7FC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EB73F3"/>
    <w:multiLevelType w:val="hybridMultilevel"/>
    <w:tmpl w:val="26A85A8A"/>
    <w:lvl w:ilvl="0" w:tplc="E6168B1C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573A3"/>
    <w:multiLevelType w:val="hybridMultilevel"/>
    <w:tmpl w:val="CA687C5E"/>
    <w:lvl w:ilvl="0" w:tplc="684E12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E17072"/>
    <w:multiLevelType w:val="multilevel"/>
    <w:tmpl w:val="1FA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EC"/>
    <w:rsid w:val="00033068"/>
    <w:rsid w:val="00034320"/>
    <w:rsid w:val="00043006"/>
    <w:rsid w:val="000A1459"/>
    <w:rsid w:val="000A1EFA"/>
    <w:rsid w:val="000A5F67"/>
    <w:rsid w:val="000B4C95"/>
    <w:rsid w:val="000D37A1"/>
    <w:rsid w:val="000F7CC5"/>
    <w:rsid w:val="001161D3"/>
    <w:rsid w:val="001241C9"/>
    <w:rsid w:val="00136158"/>
    <w:rsid w:val="00150C84"/>
    <w:rsid w:val="0015463D"/>
    <w:rsid w:val="00172A27"/>
    <w:rsid w:val="001850DF"/>
    <w:rsid w:val="001A420D"/>
    <w:rsid w:val="001C029F"/>
    <w:rsid w:val="001E2099"/>
    <w:rsid w:val="001F5A26"/>
    <w:rsid w:val="00221633"/>
    <w:rsid w:val="00231362"/>
    <w:rsid w:val="00233BB1"/>
    <w:rsid w:val="00255686"/>
    <w:rsid w:val="00266819"/>
    <w:rsid w:val="002B4405"/>
    <w:rsid w:val="002C427A"/>
    <w:rsid w:val="002D6DD8"/>
    <w:rsid w:val="00331839"/>
    <w:rsid w:val="003346B6"/>
    <w:rsid w:val="00350EDB"/>
    <w:rsid w:val="0035150E"/>
    <w:rsid w:val="003560D9"/>
    <w:rsid w:val="00367FAA"/>
    <w:rsid w:val="00377CE9"/>
    <w:rsid w:val="00381347"/>
    <w:rsid w:val="003D5F9E"/>
    <w:rsid w:val="003E2E24"/>
    <w:rsid w:val="003F556D"/>
    <w:rsid w:val="00425C6A"/>
    <w:rsid w:val="00426FC3"/>
    <w:rsid w:val="004465C5"/>
    <w:rsid w:val="004741DD"/>
    <w:rsid w:val="00477613"/>
    <w:rsid w:val="00480E1C"/>
    <w:rsid w:val="00482D78"/>
    <w:rsid w:val="00483322"/>
    <w:rsid w:val="00493AB8"/>
    <w:rsid w:val="004B167B"/>
    <w:rsid w:val="004F7BE5"/>
    <w:rsid w:val="00515D22"/>
    <w:rsid w:val="00517B20"/>
    <w:rsid w:val="0055369F"/>
    <w:rsid w:val="005A0F1B"/>
    <w:rsid w:val="005B4B41"/>
    <w:rsid w:val="005B56FC"/>
    <w:rsid w:val="005D6FA6"/>
    <w:rsid w:val="005E1396"/>
    <w:rsid w:val="005E3D5B"/>
    <w:rsid w:val="00600FF5"/>
    <w:rsid w:val="006053C4"/>
    <w:rsid w:val="00650BB8"/>
    <w:rsid w:val="00685C92"/>
    <w:rsid w:val="006C3D1D"/>
    <w:rsid w:val="006C7C5F"/>
    <w:rsid w:val="006D5329"/>
    <w:rsid w:val="007066C1"/>
    <w:rsid w:val="00755EDB"/>
    <w:rsid w:val="007575F6"/>
    <w:rsid w:val="00783653"/>
    <w:rsid w:val="007A0441"/>
    <w:rsid w:val="007D02AA"/>
    <w:rsid w:val="007D2CE7"/>
    <w:rsid w:val="00801D92"/>
    <w:rsid w:val="0082537D"/>
    <w:rsid w:val="00830302"/>
    <w:rsid w:val="00833A3C"/>
    <w:rsid w:val="00844C89"/>
    <w:rsid w:val="008567F3"/>
    <w:rsid w:val="00861D89"/>
    <w:rsid w:val="00876EF5"/>
    <w:rsid w:val="008904F3"/>
    <w:rsid w:val="008B356C"/>
    <w:rsid w:val="008E6C20"/>
    <w:rsid w:val="00901F76"/>
    <w:rsid w:val="00917F96"/>
    <w:rsid w:val="00940495"/>
    <w:rsid w:val="009559C7"/>
    <w:rsid w:val="00982EE3"/>
    <w:rsid w:val="00992C8D"/>
    <w:rsid w:val="009964FF"/>
    <w:rsid w:val="009A22B9"/>
    <w:rsid w:val="009B0253"/>
    <w:rsid w:val="009B3519"/>
    <w:rsid w:val="009C584E"/>
    <w:rsid w:val="00A028B8"/>
    <w:rsid w:val="00A03466"/>
    <w:rsid w:val="00A3162E"/>
    <w:rsid w:val="00A61D74"/>
    <w:rsid w:val="00A733FA"/>
    <w:rsid w:val="00A82A69"/>
    <w:rsid w:val="00AA346F"/>
    <w:rsid w:val="00AC6EED"/>
    <w:rsid w:val="00B10041"/>
    <w:rsid w:val="00B15C03"/>
    <w:rsid w:val="00B325B2"/>
    <w:rsid w:val="00B3318B"/>
    <w:rsid w:val="00B81469"/>
    <w:rsid w:val="00B93240"/>
    <w:rsid w:val="00B97888"/>
    <w:rsid w:val="00BA0959"/>
    <w:rsid w:val="00BB1A97"/>
    <w:rsid w:val="00BC3B14"/>
    <w:rsid w:val="00BD7BFD"/>
    <w:rsid w:val="00BD7CAF"/>
    <w:rsid w:val="00BF1A00"/>
    <w:rsid w:val="00BF4EBE"/>
    <w:rsid w:val="00BF7CFB"/>
    <w:rsid w:val="00C10DB6"/>
    <w:rsid w:val="00C15763"/>
    <w:rsid w:val="00C30155"/>
    <w:rsid w:val="00C320C7"/>
    <w:rsid w:val="00C37F77"/>
    <w:rsid w:val="00C513CC"/>
    <w:rsid w:val="00C54DBC"/>
    <w:rsid w:val="00C63327"/>
    <w:rsid w:val="00C6719D"/>
    <w:rsid w:val="00C83D63"/>
    <w:rsid w:val="00C83DF1"/>
    <w:rsid w:val="00C91F3E"/>
    <w:rsid w:val="00CA1EAB"/>
    <w:rsid w:val="00CB1138"/>
    <w:rsid w:val="00CB4FE3"/>
    <w:rsid w:val="00D05DBA"/>
    <w:rsid w:val="00D47B5E"/>
    <w:rsid w:val="00D605BD"/>
    <w:rsid w:val="00D96478"/>
    <w:rsid w:val="00DC6739"/>
    <w:rsid w:val="00DD4EFC"/>
    <w:rsid w:val="00DF2171"/>
    <w:rsid w:val="00DF228E"/>
    <w:rsid w:val="00E0357D"/>
    <w:rsid w:val="00E16715"/>
    <w:rsid w:val="00E434B4"/>
    <w:rsid w:val="00E773AC"/>
    <w:rsid w:val="00E83656"/>
    <w:rsid w:val="00E943BA"/>
    <w:rsid w:val="00E96858"/>
    <w:rsid w:val="00EB5052"/>
    <w:rsid w:val="00ED0E94"/>
    <w:rsid w:val="00F16C2A"/>
    <w:rsid w:val="00F17069"/>
    <w:rsid w:val="00F22D10"/>
    <w:rsid w:val="00F50B30"/>
    <w:rsid w:val="00F51A60"/>
    <w:rsid w:val="00F70A2E"/>
    <w:rsid w:val="00F862B2"/>
    <w:rsid w:val="00F942C3"/>
    <w:rsid w:val="00FC3DF7"/>
    <w:rsid w:val="00FE502E"/>
    <w:rsid w:val="018C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C3B14"/>
    <w:rPr>
      <w:b/>
      <w:bCs/>
    </w:rPr>
  </w:style>
  <w:style w:type="paragraph" w:styleId="a4">
    <w:name w:val="annotation text"/>
    <w:basedOn w:val="a"/>
    <w:link w:val="Char0"/>
    <w:rsid w:val="00BC3B14"/>
    <w:pPr>
      <w:jc w:val="left"/>
    </w:pPr>
  </w:style>
  <w:style w:type="paragraph" w:styleId="a5">
    <w:name w:val="Balloon Text"/>
    <w:basedOn w:val="a"/>
    <w:link w:val="Char1"/>
    <w:rsid w:val="00BC3B14"/>
    <w:rPr>
      <w:sz w:val="18"/>
      <w:szCs w:val="18"/>
    </w:rPr>
  </w:style>
  <w:style w:type="paragraph" w:styleId="a6">
    <w:name w:val="footer"/>
    <w:basedOn w:val="a"/>
    <w:rsid w:val="00BC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C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8">
    <w:name w:val="page number"/>
    <w:basedOn w:val="a0"/>
    <w:rsid w:val="00BC3B14"/>
  </w:style>
  <w:style w:type="character" w:styleId="a9">
    <w:name w:val="annotation reference"/>
    <w:rsid w:val="00BC3B14"/>
    <w:rPr>
      <w:sz w:val="21"/>
      <w:szCs w:val="21"/>
    </w:rPr>
  </w:style>
  <w:style w:type="paragraph" w:customStyle="1" w:styleId="aa">
    <w:basedOn w:val="a"/>
    <w:qFormat/>
    <w:rsid w:val="00BC3B14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BC3B14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rsid w:val="00BC3B14"/>
    <w:rPr>
      <w:b/>
      <w:bCs/>
      <w:kern w:val="2"/>
      <w:sz w:val="21"/>
    </w:rPr>
  </w:style>
  <w:style w:type="character" w:customStyle="1" w:styleId="Char0">
    <w:name w:val="批注文字 Char"/>
    <w:link w:val="a4"/>
    <w:rsid w:val="00BC3B14"/>
    <w:rPr>
      <w:kern w:val="2"/>
      <w:sz w:val="21"/>
    </w:rPr>
  </w:style>
  <w:style w:type="character" w:customStyle="1" w:styleId="Char1">
    <w:name w:val="批注框文本 Char"/>
    <w:link w:val="a5"/>
    <w:rsid w:val="00BC3B14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8E6C20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0343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C3B14"/>
    <w:rPr>
      <w:b/>
      <w:bCs/>
    </w:rPr>
  </w:style>
  <w:style w:type="paragraph" w:styleId="a4">
    <w:name w:val="annotation text"/>
    <w:basedOn w:val="a"/>
    <w:link w:val="Char0"/>
    <w:rsid w:val="00BC3B14"/>
    <w:pPr>
      <w:jc w:val="left"/>
    </w:pPr>
  </w:style>
  <w:style w:type="paragraph" w:styleId="a5">
    <w:name w:val="Balloon Text"/>
    <w:basedOn w:val="a"/>
    <w:link w:val="Char1"/>
    <w:rsid w:val="00BC3B14"/>
    <w:rPr>
      <w:sz w:val="18"/>
      <w:szCs w:val="18"/>
    </w:rPr>
  </w:style>
  <w:style w:type="paragraph" w:styleId="a6">
    <w:name w:val="footer"/>
    <w:basedOn w:val="a"/>
    <w:rsid w:val="00BC3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C3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8">
    <w:name w:val="page number"/>
    <w:basedOn w:val="a0"/>
    <w:rsid w:val="00BC3B14"/>
  </w:style>
  <w:style w:type="character" w:styleId="a9">
    <w:name w:val="annotation reference"/>
    <w:rsid w:val="00BC3B14"/>
    <w:rPr>
      <w:sz w:val="21"/>
      <w:szCs w:val="21"/>
    </w:rPr>
  </w:style>
  <w:style w:type="paragraph" w:customStyle="1" w:styleId="aa">
    <w:basedOn w:val="a"/>
    <w:qFormat/>
    <w:rsid w:val="00BC3B14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BC3B14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rsid w:val="00BC3B14"/>
    <w:rPr>
      <w:b/>
      <w:bCs/>
      <w:kern w:val="2"/>
      <w:sz w:val="21"/>
    </w:rPr>
  </w:style>
  <w:style w:type="character" w:customStyle="1" w:styleId="Char0">
    <w:name w:val="批注文字 Char"/>
    <w:link w:val="a4"/>
    <w:rsid w:val="00BC3B14"/>
    <w:rPr>
      <w:kern w:val="2"/>
      <w:sz w:val="21"/>
    </w:rPr>
  </w:style>
  <w:style w:type="character" w:customStyle="1" w:styleId="Char1">
    <w:name w:val="批注框文本 Char"/>
    <w:link w:val="a5"/>
    <w:rsid w:val="00BC3B14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8E6C20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0343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>微软中国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邢雯雯</cp:lastModifiedBy>
  <cp:revision>2</cp:revision>
  <dcterms:created xsi:type="dcterms:W3CDTF">2017-05-22T10:01:00Z</dcterms:created>
  <dcterms:modified xsi:type="dcterms:W3CDTF">2017-05-22T10:01:00Z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