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09" w:rsidRDefault="00C01CB3" w:rsidP="007209F7">
      <w:pPr>
        <w:spacing w:beforeLines="50" w:afterLines="50" w:line="400" w:lineRule="exact"/>
        <w:ind w:firstLineChars="300" w:firstLine="72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证券代码：</w:t>
      </w:r>
      <w:r>
        <w:rPr>
          <w:rFonts w:ascii="宋体" w:hAnsi="宋体" w:cs="宋体"/>
          <w:color w:val="000000"/>
          <w:sz w:val="24"/>
          <w:szCs w:val="24"/>
        </w:rPr>
        <w:t xml:space="preserve">002361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证券简称：神剑股份</w:t>
      </w:r>
    </w:p>
    <w:p w:rsidR="00DA1609" w:rsidRDefault="00C01CB3" w:rsidP="007209F7">
      <w:pPr>
        <w:spacing w:beforeLines="50" w:afterLines="5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安徽神剑新材料股份有限公司</w:t>
      </w:r>
    </w:p>
    <w:p w:rsidR="00DA1609" w:rsidRDefault="00C01CB3" w:rsidP="007209F7">
      <w:pPr>
        <w:spacing w:beforeLines="50" w:afterLines="50" w:line="40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投资者关系活动记录表</w:t>
      </w:r>
    </w:p>
    <w:p w:rsidR="00DA1609" w:rsidRDefault="00C01CB3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-0</w:t>
      </w:r>
      <w:r>
        <w:rPr>
          <w:rFonts w:ascii="宋体" w:hAnsi="宋体" w:cs="宋体" w:hint="eastAsia"/>
          <w:sz w:val="24"/>
          <w:szCs w:val="24"/>
        </w:rPr>
        <w:t>10</w:t>
      </w:r>
    </w:p>
    <w:tbl>
      <w:tblPr>
        <w:tblW w:w="88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6946"/>
      </w:tblGrid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  <w:p w:rsidR="00DA1609" w:rsidRDefault="00DA1609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特定对象调研□分析师会议</w:t>
            </w:r>
          </w:p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□媒体采访□业绩说明会</w:t>
            </w:r>
          </w:p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□新闻发布会□路演活动</w:t>
            </w:r>
          </w:p>
          <w:p w:rsidR="00DA1609" w:rsidRDefault="00C01CB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sz w:val="24"/>
                <w:szCs w:val="24"/>
              </w:rPr>
              <w:tab/>
            </w:r>
          </w:p>
          <w:p w:rsidR="00DA1609" w:rsidRDefault="00C01CB3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东北证券  李楠竹</w:t>
            </w:r>
          </w:p>
          <w:p w:rsidR="00DA1609" w:rsidRDefault="00DA1609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sz w:val="24"/>
                <w:szCs w:val="24"/>
              </w:rPr>
              <w:t>7年6月7日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公司会议室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证代   武振生</w:t>
            </w:r>
          </w:p>
        </w:tc>
      </w:tr>
      <w:tr w:rsidR="00DA1609">
        <w:trPr>
          <w:trHeight w:val="553"/>
          <w:jc w:val="center"/>
        </w:trPr>
        <w:tc>
          <w:tcPr>
            <w:tcW w:w="1915" w:type="dxa"/>
            <w:vAlign w:val="center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  <w:p w:rsidR="00DA1609" w:rsidRDefault="00DA1609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A1609" w:rsidRDefault="00C01CB3" w:rsidP="007209F7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本次投资者关系活动，主要以现场参观公司生产车间及会议室座谈方式进行，主要内容如下：</w:t>
            </w:r>
          </w:p>
          <w:p w:rsidR="00DA1609" w:rsidRDefault="00C01CB3" w:rsidP="007209F7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一、公司化工新材料产品、行业及未来发展情况？</w:t>
            </w:r>
          </w:p>
          <w:p w:rsidR="00DA1609" w:rsidRDefault="00C01CB3" w:rsidP="007209F7">
            <w:pPr>
              <w:spacing w:beforeLines="50" w:afterLines="50" w:line="360" w:lineRule="auto"/>
              <w:ind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化工新材料产品聚酯树脂主要分为户外型和混合型，户外型主要应用在室外金属器材，包括家电、建材、汽车、农机、工程机械、高速护栏等领域，具有抗腐蚀、耐老化等优越性能，混合型主要应用在户内金属表面，包括家电、电子产品等领域，具备流平性好、装饰性能优越等优点。公司主要客户为阿克苏</w:t>
            </w:r>
            <w:r>
              <w:rPr>
                <w:rFonts w:ascii="宋体" w:hAnsi="宋体" w:cs="宋体" w:hint="eastAsia"/>
                <w:sz w:val="24"/>
                <w:szCs w:val="24"/>
              </w:rPr>
              <w:t>•</w:t>
            </w:r>
            <w:r>
              <w:rPr>
                <w:rFonts w:cs="宋体" w:hint="eastAsia"/>
                <w:sz w:val="24"/>
                <w:szCs w:val="24"/>
              </w:rPr>
              <w:t>诺贝尔、艾仕德、</w:t>
            </w:r>
            <w:r>
              <w:rPr>
                <w:rFonts w:cs="宋体" w:hint="eastAsia"/>
                <w:sz w:val="24"/>
                <w:szCs w:val="24"/>
              </w:rPr>
              <w:t>PPG</w:t>
            </w:r>
            <w:r>
              <w:rPr>
                <w:rFonts w:cs="宋体" w:hint="eastAsia"/>
                <w:sz w:val="24"/>
                <w:szCs w:val="24"/>
              </w:rPr>
              <w:t>、佐敦涂料及海尔、格力等国内外知名粉末涂料企业。</w:t>
            </w:r>
          </w:p>
          <w:p w:rsidR="00BE62FE" w:rsidRDefault="00BE62FE" w:rsidP="007209F7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二、一季报业绩下降主要原因</w:t>
            </w:r>
          </w:p>
          <w:p w:rsidR="00BE62FE" w:rsidRPr="00C20F29" w:rsidRDefault="00BE62FE" w:rsidP="007209F7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公司</w:t>
            </w:r>
            <w:r>
              <w:rPr>
                <w:rFonts w:cs="宋体" w:hint="eastAsia"/>
                <w:sz w:val="24"/>
                <w:szCs w:val="24"/>
              </w:rPr>
              <w:t xml:space="preserve"> 2017</w:t>
            </w:r>
            <w:r>
              <w:rPr>
                <w:rFonts w:cs="宋体" w:hint="eastAsia"/>
                <w:sz w:val="24"/>
                <w:szCs w:val="24"/>
              </w:rPr>
              <w:t>年一季报实现营业收入</w:t>
            </w:r>
            <w:r w:rsidRPr="00DB64A0">
              <w:rPr>
                <w:rFonts w:cs="宋体"/>
                <w:sz w:val="24"/>
                <w:szCs w:val="24"/>
              </w:rPr>
              <w:t>34,068</w:t>
            </w:r>
            <w:r w:rsidRPr="00DB64A0">
              <w:rPr>
                <w:rFonts w:cs="宋体" w:hint="eastAsia"/>
                <w:sz w:val="24"/>
                <w:szCs w:val="24"/>
              </w:rPr>
              <w:t>.</w:t>
            </w:r>
            <w:r w:rsidRPr="00DB64A0">
              <w:rPr>
                <w:rFonts w:cs="宋体"/>
                <w:sz w:val="24"/>
                <w:szCs w:val="24"/>
              </w:rPr>
              <w:t>77</w:t>
            </w:r>
            <w:r w:rsidRPr="00DB64A0">
              <w:rPr>
                <w:rFonts w:cs="宋体" w:hint="eastAsia"/>
                <w:sz w:val="24"/>
                <w:szCs w:val="24"/>
              </w:rPr>
              <w:t>万元，同比增长</w:t>
            </w:r>
            <w:r w:rsidRPr="00DB64A0">
              <w:rPr>
                <w:rFonts w:cs="宋体"/>
                <w:sz w:val="24"/>
                <w:szCs w:val="24"/>
              </w:rPr>
              <w:lastRenderedPageBreak/>
              <w:t>34.30%</w:t>
            </w:r>
            <w:r w:rsidRPr="00DB64A0">
              <w:rPr>
                <w:rFonts w:cs="宋体" w:hint="eastAsia"/>
                <w:sz w:val="24"/>
                <w:szCs w:val="24"/>
              </w:rPr>
              <w:t>，净利润</w:t>
            </w:r>
            <w:r w:rsidRPr="00DB64A0">
              <w:rPr>
                <w:rFonts w:cs="宋体"/>
                <w:sz w:val="24"/>
                <w:szCs w:val="24"/>
              </w:rPr>
              <w:t>2,293</w:t>
            </w:r>
            <w:r w:rsidRPr="00DB64A0">
              <w:rPr>
                <w:rFonts w:cs="宋体" w:hint="eastAsia"/>
                <w:sz w:val="24"/>
                <w:szCs w:val="24"/>
              </w:rPr>
              <w:t>.</w:t>
            </w:r>
            <w:r w:rsidRPr="00DB64A0">
              <w:rPr>
                <w:rFonts w:cs="宋体"/>
                <w:sz w:val="24"/>
                <w:szCs w:val="24"/>
              </w:rPr>
              <w:t>4</w:t>
            </w:r>
            <w:r w:rsidRPr="00DB64A0">
              <w:rPr>
                <w:rFonts w:cs="宋体" w:hint="eastAsia"/>
                <w:sz w:val="24"/>
                <w:szCs w:val="24"/>
              </w:rPr>
              <w:t>1</w:t>
            </w:r>
            <w:r w:rsidRPr="00DB64A0">
              <w:rPr>
                <w:rFonts w:cs="宋体" w:hint="eastAsia"/>
                <w:sz w:val="24"/>
                <w:szCs w:val="24"/>
              </w:rPr>
              <w:t>万元</w:t>
            </w:r>
            <w:r>
              <w:rPr>
                <w:rFonts w:cs="宋体" w:hint="eastAsia"/>
                <w:sz w:val="24"/>
                <w:szCs w:val="24"/>
              </w:rPr>
              <w:t>，同比下降</w:t>
            </w:r>
            <w:r w:rsidRPr="0036340E">
              <w:rPr>
                <w:rFonts w:cs="宋体"/>
                <w:sz w:val="24"/>
                <w:szCs w:val="24"/>
              </w:rPr>
              <w:t>20.32%</w:t>
            </w:r>
            <w:r w:rsidRPr="0036340E">
              <w:rPr>
                <w:rFonts w:cs="宋体" w:hint="eastAsia"/>
                <w:sz w:val="24"/>
                <w:szCs w:val="24"/>
              </w:rPr>
              <w:t>。主要系化工原材料价格持续上涨，产品销售价格传导有一定滞后性，产品毛利率下降</w:t>
            </w:r>
            <w:r>
              <w:rPr>
                <w:rFonts w:cs="宋体" w:hint="eastAsia"/>
                <w:sz w:val="24"/>
                <w:szCs w:val="24"/>
              </w:rPr>
              <w:t>所致</w:t>
            </w:r>
            <w:r w:rsidRPr="0036340E">
              <w:rPr>
                <w:rFonts w:cs="宋体" w:hint="eastAsia"/>
                <w:sz w:val="24"/>
                <w:szCs w:val="24"/>
              </w:rPr>
              <w:t>。</w:t>
            </w:r>
          </w:p>
          <w:p w:rsidR="00DA1609" w:rsidRDefault="00C01CB3" w:rsidP="00C01CB3">
            <w:pPr>
              <w:spacing w:line="480" w:lineRule="atLeas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三、公司</w:t>
            </w:r>
            <w:r>
              <w:rPr>
                <w:rFonts w:ascii="宋体" w:hAnsi="宋体" w:cs="宋体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sz w:val="24"/>
                <w:szCs w:val="24"/>
              </w:rPr>
              <w:t>6年度报告中嘉业航空按预期完成了业绩承诺，不知2017承诺业绩完成有无压力，是否能超预期完成，能超额多少？</w:t>
            </w:r>
          </w:p>
          <w:p w:rsidR="00DA1609" w:rsidRDefault="00C01CB3">
            <w:pPr>
              <w:spacing w:line="480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2016年嘉业航空公司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实现营业收入2.12亿元，净利润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4302.2万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元（含嘉业子公司之合并数），较上年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度有着较为稳定的增长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。进入2017年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国内外经济形势不太乐观，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但公司所处业务领域，航空航天、轨道交通（高铁，地铁）属于国家战略支持行业，故受到的影响相对较小，以目前情况来看，随着公司新业务的不断扩充以及原有业务稳定发展，我们有信心完成既定目标。</w:t>
            </w:r>
          </w:p>
          <w:p w:rsidR="00DA1609" w:rsidRDefault="00C01CB3" w:rsidP="007209F7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四、新戊二醇项目进展情况？</w:t>
            </w:r>
          </w:p>
          <w:p w:rsidR="00DA1609" w:rsidRDefault="00C01CB3" w:rsidP="007209F7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公司山东参股</w:t>
            </w:r>
            <w:r w:rsidR="00F01C0C">
              <w:rPr>
                <w:rFonts w:cs="宋体" w:hint="eastAsia"/>
                <w:sz w:val="24"/>
                <w:szCs w:val="24"/>
              </w:rPr>
              <w:t>子</w:t>
            </w:r>
            <w:r>
              <w:rPr>
                <w:rFonts w:cs="宋体" w:hint="eastAsia"/>
                <w:sz w:val="24"/>
                <w:szCs w:val="24"/>
              </w:rPr>
              <w:t>公司新戊二醇项目已经投产，经营正常。</w:t>
            </w:r>
            <w:r w:rsidR="007209F7">
              <w:rPr>
                <w:rFonts w:cs="宋体" w:hint="eastAsia"/>
                <w:sz w:val="24"/>
                <w:szCs w:val="24"/>
              </w:rPr>
              <w:t>马鞍山公司新戊二醇项目处在前期筹备</w:t>
            </w:r>
            <w:r w:rsidRPr="007209F7">
              <w:rPr>
                <w:rFonts w:cs="宋体" w:hint="eastAsia"/>
                <w:sz w:val="24"/>
                <w:szCs w:val="24"/>
              </w:rPr>
              <w:t>阶段，预计</w:t>
            </w:r>
            <w:r w:rsidRPr="007209F7">
              <w:rPr>
                <w:rFonts w:cs="宋体" w:hint="eastAsia"/>
                <w:sz w:val="24"/>
                <w:szCs w:val="24"/>
              </w:rPr>
              <w:t>201</w:t>
            </w:r>
            <w:r w:rsidR="004002F0" w:rsidRPr="007209F7">
              <w:rPr>
                <w:rFonts w:cs="宋体" w:hint="eastAsia"/>
                <w:sz w:val="24"/>
                <w:szCs w:val="24"/>
              </w:rPr>
              <w:t>7</w:t>
            </w:r>
            <w:r w:rsidRPr="007209F7">
              <w:rPr>
                <w:rFonts w:cs="宋体" w:hint="eastAsia"/>
                <w:sz w:val="24"/>
                <w:szCs w:val="24"/>
              </w:rPr>
              <w:t>年底投产。</w:t>
            </w:r>
            <w:bookmarkStart w:id="0" w:name="_GoBack"/>
            <w:bookmarkEnd w:id="0"/>
          </w:p>
          <w:p w:rsidR="00DA1609" w:rsidRDefault="00C01CB3" w:rsidP="007209F7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五、公司未来发展规划？</w:t>
            </w:r>
          </w:p>
          <w:p w:rsidR="00DA1609" w:rsidRDefault="00C01CB3" w:rsidP="007209F7">
            <w:pPr>
              <w:spacing w:beforeLines="50" w:afterLines="50" w:line="360" w:lineRule="auto"/>
              <w:ind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公司在高端装备制造业领域将继续加大研发投入，特别在新技术、新工艺（如</w:t>
            </w:r>
            <w:r>
              <w:rPr>
                <w:rFonts w:cs="宋体" w:hint="eastAsia"/>
                <w:sz w:val="24"/>
                <w:szCs w:val="24"/>
              </w:rPr>
              <w:t>3D</w:t>
            </w:r>
            <w:r>
              <w:rPr>
                <w:rFonts w:cs="宋体" w:hint="eastAsia"/>
                <w:sz w:val="24"/>
                <w:szCs w:val="24"/>
              </w:rPr>
              <w:t>打印技术，内高压充液成型技术及粉末热等静压技术）及新材料等领域加大投入，提高公司产品的科技含量，抢占市场，继续做强公司在航空、航天及轨道交通领域业务规模。</w:t>
            </w:r>
          </w:p>
          <w:p w:rsidR="00DA1609" w:rsidRDefault="00C01CB3" w:rsidP="007209F7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未来公司将以现有化工新材料行业为基础，着力打造化工新材料与航空、航天及军工装备制造双主业驱动发展模式，进一步夯实产业链条，建立持续、健康、稳定的双主业发展模式。</w:t>
            </w:r>
          </w:p>
        </w:tc>
      </w:tr>
    </w:tbl>
    <w:p w:rsidR="00DA1609" w:rsidRDefault="00DA1609">
      <w:pPr>
        <w:widowControl/>
        <w:jc w:val="left"/>
      </w:pPr>
    </w:p>
    <w:sectPr w:rsidR="00DA1609" w:rsidSect="00DA160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BC13"/>
    <w:multiLevelType w:val="singleLevel"/>
    <w:tmpl w:val="5719BC13"/>
    <w:lvl w:ilvl="0">
      <w:start w:val="2"/>
      <w:numFmt w:val="chineseCounting"/>
      <w:suff w:val="nothing"/>
      <w:lvlText w:val="%1、"/>
      <w:lvlJc w:val="left"/>
      <w:rPr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47A8B"/>
    <w:rsid w:val="000853A0"/>
    <w:rsid w:val="00090818"/>
    <w:rsid w:val="000B475D"/>
    <w:rsid w:val="000C14A1"/>
    <w:rsid w:val="002112B9"/>
    <w:rsid w:val="002215A2"/>
    <w:rsid w:val="00246D12"/>
    <w:rsid w:val="003260CD"/>
    <w:rsid w:val="004002F0"/>
    <w:rsid w:val="00430BF2"/>
    <w:rsid w:val="004928EB"/>
    <w:rsid w:val="004A4E94"/>
    <w:rsid w:val="004F4F57"/>
    <w:rsid w:val="00506473"/>
    <w:rsid w:val="00564841"/>
    <w:rsid w:val="00571FB9"/>
    <w:rsid w:val="005A6BA0"/>
    <w:rsid w:val="005B4C65"/>
    <w:rsid w:val="005C12CC"/>
    <w:rsid w:val="005E2CC0"/>
    <w:rsid w:val="0060267B"/>
    <w:rsid w:val="006109E4"/>
    <w:rsid w:val="0061150F"/>
    <w:rsid w:val="00637256"/>
    <w:rsid w:val="006624E5"/>
    <w:rsid w:val="006860B9"/>
    <w:rsid w:val="006A3081"/>
    <w:rsid w:val="006A7449"/>
    <w:rsid w:val="0070372D"/>
    <w:rsid w:val="007209F7"/>
    <w:rsid w:val="007663D9"/>
    <w:rsid w:val="007840DD"/>
    <w:rsid w:val="007C0DD9"/>
    <w:rsid w:val="007E29EB"/>
    <w:rsid w:val="00873532"/>
    <w:rsid w:val="00877CCF"/>
    <w:rsid w:val="009C7C69"/>
    <w:rsid w:val="00A05E8A"/>
    <w:rsid w:val="00AC70A1"/>
    <w:rsid w:val="00B02832"/>
    <w:rsid w:val="00B16A0E"/>
    <w:rsid w:val="00B50FD7"/>
    <w:rsid w:val="00BB3ED4"/>
    <w:rsid w:val="00BE62FE"/>
    <w:rsid w:val="00C0152C"/>
    <w:rsid w:val="00C01CB3"/>
    <w:rsid w:val="00C05B72"/>
    <w:rsid w:val="00CB2E1F"/>
    <w:rsid w:val="00CD272F"/>
    <w:rsid w:val="00CF27F0"/>
    <w:rsid w:val="00D72654"/>
    <w:rsid w:val="00DA1609"/>
    <w:rsid w:val="00DA32B2"/>
    <w:rsid w:val="00DB4AA8"/>
    <w:rsid w:val="00E65BB4"/>
    <w:rsid w:val="00EC4439"/>
    <w:rsid w:val="00EE282B"/>
    <w:rsid w:val="00F01C0C"/>
    <w:rsid w:val="00F06BC7"/>
    <w:rsid w:val="00F227B6"/>
    <w:rsid w:val="00F60885"/>
    <w:rsid w:val="00FA7172"/>
    <w:rsid w:val="00FD1A82"/>
    <w:rsid w:val="00FE095D"/>
    <w:rsid w:val="06020579"/>
    <w:rsid w:val="0EC25B54"/>
    <w:rsid w:val="20E97274"/>
    <w:rsid w:val="215A6B25"/>
    <w:rsid w:val="22983C94"/>
    <w:rsid w:val="24E54698"/>
    <w:rsid w:val="2DF21006"/>
    <w:rsid w:val="3A703571"/>
    <w:rsid w:val="56141943"/>
    <w:rsid w:val="579058D3"/>
    <w:rsid w:val="6E280728"/>
    <w:rsid w:val="7FB4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A160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160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167</Words>
  <Characters>957</Characters>
  <Application>Microsoft Office Word</Application>
  <DocSecurity>0</DocSecurity>
  <Lines>7</Lines>
  <Paragraphs>2</Paragraphs>
  <ScaleCrop>false</ScaleCrop>
  <Company>WwW.YlmF.CoM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37</cp:revision>
  <dcterms:created xsi:type="dcterms:W3CDTF">2016-04-22T05:38:00Z</dcterms:created>
  <dcterms:modified xsi:type="dcterms:W3CDTF">2017-06-08T07:27:00Z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