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FE3214" w:rsidRDefault="00E2322A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2017-00</w:t>
      </w:r>
      <w:r w:rsidR="003C5439">
        <w:rPr>
          <w:rFonts w:ascii="Times New Roman" w:hAnsi="Times New Roman" w:hint="eastAsia"/>
          <w:noProof/>
          <w:spacing w:val="-2"/>
          <w:w w:val="98"/>
          <w:szCs w:val="21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2322A" w:rsidRPr="00974890" w:rsidTr="005A7BFF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5A7B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E2322A" w:rsidRPr="00974890" w:rsidRDefault="00E2322A" w:rsidP="005A7BFF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E2322A" w:rsidRPr="00974890" w:rsidTr="000E22C3">
        <w:trPr>
          <w:trHeight w:val="2192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413377" w:rsidRDefault="006E0335" w:rsidP="006E0335">
            <w:r>
              <w:t>瑞银</w:t>
            </w:r>
            <w:r>
              <w:rPr>
                <w:rFonts w:hint="eastAsia"/>
              </w:rPr>
              <w:t>证券</w:t>
            </w:r>
            <w:r w:rsidR="00413377">
              <w:t>：</w:t>
            </w:r>
            <w:r w:rsidR="00413377">
              <w:rPr>
                <w:rFonts w:hint="eastAsia"/>
              </w:rPr>
              <w:t>Bill Lu</w:t>
            </w:r>
            <w:r w:rsidR="00413377">
              <w:rPr>
                <w:rFonts w:hint="eastAsia"/>
              </w:rPr>
              <w:t>、</w:t>
            </w:r>
            <w:r w:rsidR="00413377">
              <w:rPr>
                <w:rFonts w:hint="eastAsia"/>
              </w:rPr>
              <w:t>Sunny Lin</w:t>
            </w:r>
            <w:r w:rsidR="00413377">
              <w:rPr>
                <w:rFonts w:hint="eastAsia"/>
              </w:rPr>
              <w:t>、</w:t>
            </w:r>
            <w:r w:rsidR="00413377">
              <w:t>冯令天</w:t>
            </w:r>
            <w:r w:rsidR="00413377">
              <w:rPr>
                <w:rFonts w:hint="eastAsia"/>
              </w:rPr>
              <w:t>、</w:t>
            </w:r>
            <w:r w:rsidR="00413377">
              <w:t>俞佳</w:t>
            </w:r>
          </w:p>
          <w:p w:rsidR="00413377" w:rsidRDefault="006E0335" w:rsidP="00413377">
            <w:r>
              <w:t>渤海证券：宋敬祎</w:t>
            </w:r>
            <w:r w:rsidR="00413377">
              <w:rPr>
                <w:rFonts w:hint="eastAsia"/>
              </w:rPr>
              <w:t xml:space="preserve">  </w:t>
            </w:r>
            <w:proofErr w:type="gramStart"/>
            <w:r w:rsidR="00413377">
              <w:rPr>
                <w:rFonts w:hint="eastAsia"/>
              </w:rPr>
              <w:t>申万宏</w:t>
            </w:r>
            <w:proofErr w:type="gramEnd"/>
            <w:r w:rsidR="00413377">
              <w:rPr>
                <w:rFonts w:hint="eastAsia"/>
              </w:rPr>
              <w:t>源：施鑫展</w:t>
            </w:r>
          </w:p>
          <w:p w:rsidR="006E0335" w:rsidRDefault="00413377" w:rsidP="006E0335">
            <w:r>
              <w:rPr>
                <w:rFonts w:hint="eastAsia"/>
              </w:rPr>
              <w:t>爱建证券：潘永杰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申港证券：钱科</w:t>
            </w:r>
          </w:p>
          <w:p w:rsidR="00413377" w:rsidRPr="00413377" w:rsidRDefault="00413377" w:rsidP="006E0335">
            <w:r>
              <w:t>海</w:t>
            </w:r>
            <w:proofErr w:type="gramStart"/>
            <w:r>
              <w:t>通</w:t>
            </w:r>
            <w:r>
              <w:rPr>
                <w:rFonts w:hint="eastAsia"/>
              </w:rPr>
              <w:t>资管</w:t>
            </w:r>
            <w:proofErr w:type="gramEnd"/>
            <w:r>
              <w:t>：</w:t>
            </w:r>
            <w:proofErr w:type="gramStart"/>
            <w:r>
              <w:t>童胜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国泰君安：俞能飞、任浪</w:t>
            </w:r>
          </w:p>
          <w:p w:rsidR="00413377" w:rsidRDefault="006E0335" w:rsidP="006E0335">
            <w:r>
              <w:t>中泰证券：张欣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413377">
              <w:rPr>
                <w:rFonts w:hint="eastAsia"/>
              </w:rPr>
              <w:t>华商基金：蔡峰</w:t>
            </w:r>
            <w:r w:rsidR="00413377"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6E0335" w:rsidRPr="00413377" w:rsidRDefault="006E0335" w:rsidP="006E0335">
            <w:proofErr w:type="gramStart"/>
            <w:r>
              <w:t>睿</w:t>
            </w:r>
            <w:proofErr w:type="gramEnd"/>
            <w:r>
              <w:t>柏资产：</w:t>
            </w:r>
            <w:proofErr w:type="gramStart"/>
            <w:r>
              <w:t>劳逸华</w:t>
            </w:r>
            <w:proofErr w:type="gramEnd"/>
            <w:r w:rsidR="00413377">
              <w:rPr>
                <w:rFonts w:hint="eastAsia"/>
              </w:rPr>
              <w:t xml:space="preserve">  </w:t>
            </w:r>
            <w:r w:rsidR="00413377">
              <w:rPr>
                <w:rFonts w:hint="eastAsia"/>
              </w:rPr>
              <w:t>跃</w:t>
            </w:r>
            <w:r w:rsidR="00413377">
              <w:t>马资本：詹晋杰</w:t>
            </w:r>
            <w:r w:rsidR="00413377">
              <w:rPr>
                <w:rFonts w:hint="eastAsia"/>
              </w:rPr>
              <w:t xml:space="preserve">  </w:t>
            </w:r>
          </w:p>
          <w:p w:rsidR="006E0335" w:rsidRDefault="006E0335" w:rsidP="006E0335">
            <w:proofErr w:type="gramStart"/>
            <w:r>
              <w:t>敦</w:t>
            </w:r>
            <w:proofErr w:type="gramEnd"/>
            <w:r>
              <w:t>孚投资：</w:t>
            </w:r>
            <w:proofErr w:type="gramStart"/>
            <w:r>
              <w:t>姜军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浦银</w:t>
            </w:r>
            <w:proofErr w:type="gramEnd"/>
            <w:r>
              <w:rPr>
                <w:rFonts w:hint="eastAsia"/>
              </w:rPr>
              <w:t>安盛</w:t>
            </w:r>
            <w:r w:rsidR="00413377">
              <w:rPr>
                <w:rFonts w:hint="eastAsia"/>
              </w:rPr>
              <w:t>基金</w:t>
            </w:r>
            <w:r>
              <w:rPr>
                <w:rFonts w:hint="eastAsia"/>
              </w:rPr>
              <w:t>：黄星霖</w:t>
            </w:r>
          </w:p>
          <w:p w:rsidR="006E0335" w:rsidRDefault="006E0335" w:rsidP="006E0335">
            <w:r>
              <w:t>国联人寿：陶雯雯</w:t>
            </w:r>
            <w:r w:rsidR="002857DD">
              <w:rPr>
                <w:rFonts w:hint="eastAsia"/>
              </w:rPr>
              <w:t xml:space="preserve">  </w:t>
            </w:r>
            <w:r>
              <w:t>上海德</w:t>
            </w:r>
            <w:proofErr w:type="gramStart"/>
            <w:r>
              <w:t>汇</w:t>
            </w:r>
            <w:r w:rsidR="00413377">
              <w:rPr>
                <w:rFonts w:hint="eastAsia"/>
              </w:rPr>
              <w:t>资管</w:t>
            </w:r>
            <w:proofErr w:type="gramEnd"/>
            <w:r>
              <w:t>：张英杰</w:t>
            </w:r>
            <w:r>
              <w:rPr>
                <w:rFonts w:hint="eastAsia"/>
              </w:rPr>
              <w:t xml:space="preserve">   </w:t>
            </w:r>
          </w:p>
          <w:p w:rsidR="006E0335" w:rsidRDefault="006E0335" w:rsidP="006E0335">
            <w:r>
              <w:t>观合资产：</w:t>
            </w:r>
            <w:proofErr w:type="gramStart"/>
            <w:r>
              <w:t>尚鹏岳</w:t>
            </w:r>
            <w:proofErr w:type="gramEnd"/>
            <w:r w:rsidR="002857D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趣时资产：陈超逸</w:t>
            </w:r>
          </w:p>
          <w:p w:rsidR="00E2322A" w:rsidRPr="006E7B9D" w:rsidRDefault="006E0335" w:rsidP="00413377">
            <w:r>
              <w:t>富敦投资：</w:t>
            </w:r>
            <w:proofErr w:type="gramStart"/>
            <w:r>
              <w:t>孙通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混沌道</w:t>
            </w:r>
            <w:proofErr w:type="gramStart"/>
            <w:r>
              <w:rPr>
                <w:rFonts w:hint="eastAsia"/>
              </w:rPr>
              <w:t>然</w:t>
            </w:r>
            <w:r w:rsidR="00413377">
              <w:rPr>
                <w:rFonts w:hint="eastAsia"/>
              </w:rPr>
              <w:t>资管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程苏恒</w:t>
            </w:r>
            <w:proofErr w:type="gramEnd"/>
          </w:p>
        </w:tc>
      </w:tr>
      <w:tr w:rsidR="00E2322A" w:rsidRPr="00974890" w:rsidTr="00F849C7">
        <w:trPr>
          <w:trHeight w:val="57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E2322A" w:rsidRPr="00C9042F" w:rsidRDefault="00E2322A" w:rsidP="00C9042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C5439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6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C5439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3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5A7BFF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74890" w:rsidTr="00F849C7">
        <w:trPr>
          <w:trHeight w:val="90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E2322A" w:rsidRPr="006C19CB" w:rsidRDefault="00E2322A" w:rsidP="006C19CB">
            <w:pPr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董事、高级运营副总裁、</w:t>
            </w:r>
            <w:proofErr w:type="gramStart"/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董秘谢煜璋</w:t>
            </w:r>
            <w:proofErr w:type="gramEnd"/>
          </w:p>
          <w:p w:rsidR="00E2322A" w:rsidRPr="00C9042F" w:rsidRDefault="00E2322A" w:rsidP="003C5439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余滢</w:t>
            </w:r>
          </w:p>
        </w:tc>
      </w:tr>
      <w:tr w:rsidR="00E2322A" w:rsidRPr="00974890" w:rsidTr="001B1D4B">
        <w:trPr>
          <w:trHeight w:val="841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E2322A" w:rsidRPr="00483E2F" w:rsidRDefault="00E2322A" w:rsidP="00C47253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董事、</w:t>
            </w:r>
            <w:r w:rsidRPr="00483E2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副总裁兼董事会秘书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谢煜璋先生主持了本次活动，谢煜璋先生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了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的发展历程及业务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发展情况。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之后与会人员</w:t>
            </w:r>
            <w:r w:rsidRPr="00483E2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采用问答形式进行了沟通，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:rsidR="003C5439" w:rsidRDefault="00E2322A" w:rsidP="0037666F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264C5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3C5439"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F41DE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近年</w:t>
            </w:r>
            <w:r w:rsidR="003C5439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国内安</w:t>
            </w:r>
            <w:proofErr w:type="gramStart"/>
            <w:r w:rsidR="003C5439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防需求</w:t>
            </w:r>
            <w:proofErr w:type="gramEnd"/>
            <w:r w:rsidR="003C5439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及</w:t>
            </w:r>
            <w:r w:rsidR="001F41DE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未来发展空间如何</w:t>
            </w:r>
            <w:r w:rsidR="003C5439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E2322A" w:rsidRPr="00B333D9" w:rsidRDefault="00E2322A" w:rsidP="0037666F">
            <w:pPr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BE439D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1F41DE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近年基于国内安全维稳需求，</w:t>
            </w:r>
            <w:r w:rsidR="0041337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平安城市加速建设，</w:t>
            </w:r>
            <w:r w:rsidR="001F41DE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安防从城市</w:t>
            </w:r>
            <w:r w:rsidR="00BE66BE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逐渐</w:t>
            </w:r>
            <w:r w:rsidR="00CE0E3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进入乡村</w:t>
            </w:r>
            <w:r w:rsidR="00B24522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CC28C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覆盖区域更广，</w:t>
            </w:r>
            <w:r w:rsidR="00B24522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布点</w:t>
            </w:r>
            <w:r w:rsidR="0090071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间距更</w:t>
            </w:r>
            <w:r w:rsidR="00B24522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密，</w:t>
            </w:r>
            <w:r w:rsidR="0090071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除</w:t>
            </w:r>
            <w:r w:rsidR="00B24522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治安、交通管理</w:t>
            </w:r>
            <w:r w:rsidR="00303D7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、工业</w:t>
            </w:r>
            <w:r w:rsidR="00CE0E3D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需求</w:t>
            </w:r>
            <w:r w:rsidR="0090071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外</w:t>
            </w:r>
            <w:r w:rsidR="00B24522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，金融、商业</w:t>
            </w:r>
            <w:r w:rsidR="00CC28C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等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其他</w:t>
            </w:r>
            <w:r w:rsidR="00CC28C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行业均存在增量需求，加之存量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更新</w:t>
            </w:r>
            <w:r w:rsidR="00CC28C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需求，</w:t>
            </w:r>
            <w:r w:rsidR="0090071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安防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市场空间</w:t>
            </w:r>
            <w:r w:rsidR="0090071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未来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3-5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927F0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仍有望</w:t>
            </w:r>
            <w:r w:rsidR="00C47253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保持高速增长</w:t>
            </w:r>
            <w:r w:rsidR="00D2785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3C5439" w:rsidRPr="009D3B16" w:rsidRDefault="00E2322A" w:rsidP="009D3B16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D2785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请问公司</w:t>
            </w:r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ISP</w:t>
            </w:r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和</w:t>
            </w:r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IPC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与市场目前</w:t>
            </w:r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竞争对手产品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优势？</w:t>
            </w:r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</w:t>
            </w:r>
            <w:r w:rsidR="009D3B16" w:rsidRPr="009D3B1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PC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4019E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智能化方面目前</w:t>
            </w:r>
            <w:r w:rsidR="004019E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具有</w:t>
            </w:r>
            <w:r w:rsidR="009D3B16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哪些功能？</w:t>
            </w:r>
            <w:r w:rsidR="0041337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智能分析功能</w:t>
            </w:r>
            <w:r w:rsidR="004019E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对定价有何影响？</w:t>
            </w:r>
            <w:r w:rsidR="0098394F" w:rsidRPr="009D3B1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394F" w:rsidRDefault="00E2322A" w:rsidP="00DA2255">
            <w:pPr>
              <w:pStyle w:val="-"/>
              <w:spacing w:before="156" w:after="156"/>
              <w:ind w:firstLineChars="0" w:firstLine="0"/>
            </w:pPr>
            <w:r w:rsidRPr="00BE439D">
              <w:rPr>
                <w:b/>
                <w:color w:val="000000"/>
                <w:szCs w:val="24"/>
              </w:rPr>
              <w:t>A</w:t>
            </w:r>
            <w:r>
              <w:rPr>
                <w:rFonts w:hint="eastAsia"/>
                <w:b/>
                <w:color w:val="000000"/>
                <w:szCs w:val="24"/>
              </w:rPr>
              <w:t>：</w:t>
            </w:r>
            <w:r w:rsidR="009D3B16" w:rsidRPr="009D3B16">
              <w:rPr>
                <w:rFonts w:hint="eastAsia"/>
                <w:color w:val="000000"/>
                <w:szCs w:val="24"/>
              </w:rPr>
              <w:t>公司</w:t>
            </w:r>
            <w:r w:rsidR="009D3B16" w:rsidRPr="009D3B16">
              <w:rPr>
                <w:rFonts w:hint="eastAsia"/>
                <w:color w:val="000000"/>
                <w:szCs w:val="24"/>
              </w:rPr>
              <w:t>ISP</w:t>
            </w:r>
            <w:r w:rsidR="009D3B16" w:rsidRPr="009D3B16">
              <w:rPr>
                <w:rFonts w:hint="eastAsia"/>
                <w:color w:val="000000"/>
                <w:szCs w:val="24"/>
              </w:rPr>
              <w:t>芯片</w:t>
            </w:r>
            <w:r w:rsidR="00C17F52">
              <w:rPr>
                <w:rFonts w:hint="eastAsia"/>
                <w:color w:val="000000"/>
                <w:szCs w:val="24"/>
              </w:rPr>
              <w:t>以</w:t>
            </w:r>
            <w:r w:rsidR="00413377">
              <w:rPr>
                <w:rFonts w:hint="eastAsia"/>
                <w:color w:val="000000"/>
                <w:szCs w:val="24"/>
              </w:rPr>
              <w:t>卓越的</w:t>
            </w:r>
            <w:r w:rsidR="002050D7">
              <w:rPr>
                <w:rFonts w:hint="eastAsia"/>
                <w:color w:val="000000"/>
                <w:szCs w:val="24"/>
              </w:rPr>
              <w:t>图像处理能力以及</w:t>
            </w:r>
            <w:r w:rsidR="00DA2255">
              <w:rPr>
                <w:rFonts w:hint="eastAsia"/>
                <w:color w:val="000000"/>
                <w:szCs w:val="24"/>
              </w:rPr>
              <w:t>良好</w:t>
            </w:r>
            <w:r w:rsidR="00C17F52">
              <w:rPr>
                <w:rFonts w:hint="eastAsia"/>
                <w:color w:val="000000"/>
                <w:szCs w:val="24"/>
              </w:rPr>
              <w:t>兼容性</w:t>
            </w:r>
            <w:r w:rsidR="002050D7">
              <w:rPr>
                <w:rFonts w:hint="eastAsia"/>
                <w:color w:val="000000"/>
                <w:szCs w:val="24"/>
              </w:rPr>
              <w:t>、高性能低功耗等</w:t>
            </w:r>
            <w:r w:rsidR="00413377">
              <w:rPr>
                <w:rFonts w:hint="eastAsia"/>
                <w:color w:val="000000"/>
                <w:szCs w:val="24"/>
              </w:rPr>
              <w:t>优势</w:t>
            </w:r>
            <w:r w:rsidR="00DA2255">
              <w:rPr>
                <w:rFonts w:hint="eastAsia"/>
                <w:color w:val="000000"/>
                <w:szCs w:val="24"/>
              </w:rPr>
              <w:t>占市场</w:t>
            </w:r>
            <w:r w:rsidR="00A43D59">
              <w:rPr>
                <w:rFonts w:hint="eastAsia"/>
                <w:color w:val="000000"/>
                <w:szCs w:val="24"/>
              </w:rPr>
              <w:t>主导</w:t>
            </w:r>
            <w:r w:rsidR="00DA2255">
              <w:rPr>
                <w:rFonts w:hint="eastAsia"/>
                <w:color w:val="000000"/>
                <w:szCs w:val="24"/>
              </w:rPr>
              <w:t>地位</w:t>
            </w:r>
            <w:r w:rsidR="00C17F52">
              <w:rPr>
                <w:rFonts w:hint="eastAsia"/>
                <w:color w:val="000000"/>
                <w:szCs w:val="24"/>
              </w:rPr>
              <w:t>；</w:t>
            </w:r>
            <w:r w:rsidR="00C17F52">
              <w:rPr>
                <w:rFonts w:hint="eastAsia"/>
                <w:color w:val="000000"/>
                <w:szCs w:val="24"/>
              </w:rPr>
              <w:t xml:space="preserve">IPC </w:t>
            </w:r>
            <w:proofErr w:type="spellStart"/>
            <w:r w:rsidR="00C17F52" w:rsidRPr="009D3B16">
              <w:rPr>
                <w:b/>
                <w:color w:val="000000"/>
                <w:szCs w:val="24"/>
              </w:rPr>
              <w:t>SoC</w:t>
            </w:r>
            <w:proofErr w:type="spellEnd"/>
            <w:r w:rsidR="00C17F52" w:rsidRPr="00A43D59">
              <w:rPr>
                <w:rFonts w:hint="eastAsia"/>
                <w:color w:val="000000"/>
                <w:szCs w:val="24"/>
              </w:rPr>
              <w:t>芯片</w:t>
            </w:r>
            <w:r w:rsidR="008E6E7D">
              <w:rPr>
                <w:rFonts w:hint="eastAsia"/>
                <w:color w:val="000000"/>
                <w:szCs w:val="24"/>
              </w:rPr>
              <w:t>新一代产品</w:t>
            </w:r>
            <w:r w:rsidR="00F05823">
              <w:rPr>
                <w:rFonts w:hint="eastAsia"/>
                <w:color w:val="000000"/>
                <w:szCs w:val="24"/>
              </w:rPr>
              <w:t>在已有产品基础上针对</w:t>
            </w:r>
            <w:r w:rsidR="00927F08">
              <w:rPr>
                <w:rFonts w:hint="eastAsia"/>
                <w:color w:val="000000"/>
                <w:szCs w:val="24"/>
              </w:rPr>
              <w:t>专业安</w:t>
            </w:r>
            <w:proofErr w:type="gramStart"/>
            <w:r w:rsidR="00927F08">
              <w:rPr>
                <w:rFonts w:hint="eastAsia"/>
                <w:color w:val="000000"/>
                <w:szCs w:val="24"/>
              </w:rPr>
              <w:t>防</w:t>
            </w:r>
            <w:r w:rsidR="00B07A0A">
              <w:rPr>
                <w:rFonts w:hint="eastAsia"/>
                <w:color w:val="000000"/>
                <w:szCs w:val="24"/>
              </w:rPr>
              <w:t>客户</w:t>
            </w:r>
            <w:proofErr w:type="gramEnd"/>
            <w:r w:rsidR="00F05823">
              <w:rPr>
                <w:rFonts w:hint="eastAsia"/>
                <w:color w:val="000000"/>
                <w:szCs w:val="24"/>
              </w:rPr>
              <w:t>需求进行升级改进，</w:t>
            </w:r>
            <w:r w:rsidR="002050D7">
              <w:rPr>
                <w:rFonts w:hint="eastAsia"/>
                <w:color w:val="000000"/>
                <w:szCs w:val="24"/>
              </w:rPr>
              <w:t>拥有</w:t>
            </w:r>
            <w:r w:rsidR="00927F08">
              <w:rPr>
                <w:rFonts w:hint="eastAsia"/>
                <w:color w:val="000000"/>
                <w:szCs w:val="24"/>
              </w:rPr>
              <w:t>更高</w:t>
            </w:r>
            <w:r w:rsidR="00DA2255">
              <w:rPr>
                <w:rFonts w:hint="eastAsia"/>
                <w:color w:val="000000"/>
                <w:szCs w:val="24"/>
              </w:rPr>
              <w:t>的</w:t>
            </w:r>
            <w:r w:rsidR="00927F08">
              <w:rPr>
                <w:rFonts w:hint="eastAsia"/>
                <w:color w:val="000000"/>
                <w:szCs w:val="24"/>
              </w:rPr>
              <w:t>分辨率和性能，</w:t>
            </w:r>
            <w:r w:rsidR="00927F08" w:rsidRPr="00C20880">
              <w:rPr>
                <w:rFonts w:hint="eastAsia"/>
              </w:rPr>
              <w:t>生产工艺进一步提升</w:t>
            </w:r>
            <w:r w:rsidR="00927F08">
              <w:rPr>
                <w:rFonts w:hint="eastAsia"/>
              </w:rPr>
              <w:t>，</w:t>
            </w:r>
            <w:r w:rsidR="00927F08">
              <w:rPr>
                <w:rFonts w:hint="eastAsia"/>
                <w:color w:val="000000"/>
                <w:szCs w:val="24"/>
              </w:rPr>
              <w:t>并</w:t>
            </w:r>
            <w:r w:rsidR="002A712F">
              <w:rPr>
                <w:rFonts w:hint="eastAsia"/>
                <w:color w:val="000000"/>
                <w:szCs w:val="24"/>
              </w:rPr>
              <w:t>以将</w:t>
            </w:r>
            <w:r w:rsidR="00D61CC0">
              <w:rPr>
                <w:rFonts w:hint="eastAsia"/>
                <w:color w:val="000000"/>
                <w:szCs w:val="24"/>
              </w:rPr>
              <w:t>相关</w:t>
            </w:r>
            <w:r w:rsidR="002A712F">
              <w:rPr>
                <w:rFonts w:hint="eastAsia"/>
                <w:color w:val="000000"/>
                <w:szCs w:val="24"/>
              </w:rPr>
              <w:t>算法</w:t>
            </w:r>
            <w:r w:rsidR="00D61CC0">
              <w:rPr>
                <w:rFonts w:hint="eastAsia"/>
                <w:color w:val="000000"/>
                <w:szCs w:val="24"/>
              </w:rPr>
              <w:t>模块</w:t>
            </w:r>
            <w:r w:rsidR="002A712F">
              <w:rPr>
                <w:rFonts w:hint="eastAsia"/>
                <w:color w:val="000000"/>
                <w:szCs w:val="24"/>
              </w:rPr>
              <w:t>嵌入到前端摄像机，</w:t>
            </w:r>
            <w:r w:rsidR="00927F08">
              <w:rPr>
                <w:rFonts w:hint="eastAsia"/>
                <w:color w:val="000000"/>
                <w:szCs w:val="24"/>
              </w:rPr>
              <w:t>附</w:t>
            </w:r>
            <w:r w:rsidR="00DA2255">
              <w:rPr>
                <w:rFonts w:hint="eastAsia"/>
                <w:color w:val="000000"/>
                <w:szCs w:val="24"/>
              </w:rPr>
              <w:t>加</w:t>
            </w:r>
            <w:r w:rsidR="00F05823">
              <w:rPr>
                <w:rFonts w:hint="eastAsia"/>
                <w:color w:val="000000"/>
                <w:szCs w:val="24"/>
              </w:rPr>
              <w:t>极低码率智能编码、人脸检测</w:t>
            </w:r>
            <w:r w:rsidR="00927F08">
              <w:rPr>
                <w:rFonts w:hint="eastAsia"/>
                <w:color w:val="000000"/>
                <w:szCs w:val="24"/>
              </w:rPr>
              <w:t>等</w:t>
            </w:r>
            <w:r w:rsidR="00D61CC0">
              <w:rPr>
                <w:rFonts w:hint="eastAsia"/>
                <w:color w:val="000000"/>
                <w:szCs w:val="24"/>
              </w:rPr>
              <w:t>功能来进一步提高性价比</w:t>
            </w:r>
            <w:r w:rsidR="008E6E7D">
              <w:rPr>
                <w:rFonts w:hint="eastAsia"/>
                <w:color w:val="000000"/>
                <w:szCs w:val="24"/>
              </w:rPr>
              <w:t>，</w:t>
            </w:r>
            <w:r w:rsidR="00D61CC0">
              <w:rPr>
                <w:rFonts w:hint="eastAsia"/>
                <w:color w:val="000000"/>
                <w:szCs w:val="24"/>
              </w:rPr>
              <w:t>当然这些性能的提升</w:t>
            </w:r>
            <w:r w:rsidR="006E0335">
              <w:rPr>
                <w:rFonts w:hint="eastAsia"/>
              </w:rPr>
              <w:t>对价格</w:t>
            </w:r>
            <w:r w:rsidR="006E7B9D">
              <w:rPr>
                <w:rFonts w:hint="eastAsia"/>
              </w:rPr>
              <w:t>会有</w:t>
            </w:r>
            <w:r w:rsidR="006E0335">
              <w:rPr>
                <w:rFonts w:hint="eastAsia"/>
              </w:rPr>
              <w:t>正向影响</w:t>
            </w:r>
            <w:r w:rsidR="00DA2255">
              <w:rPr>
                <w:rFonts w:hint="eastAsia"/>
              </w:rPr>
              <w:t>。</w:t>
            </w:r>
          </w:p>
          <w:p w:rsidR="003C5439" w:rsidRDefault="00E2322A" w:rsidP="00DA2255">
            <w:pPr>
              <w:pStyle w:val="-"/>
              <w:spacing w:before="156" w:after="156"/>
              <w:ind w:firstLineChars="0" w:firstLine="0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Q</w:t>
            </w:r>
            <w:r>
              <w:rPr>
                <w:rFonts w:hint="eastAsia"/>
                <w:b/>
                <w:color w:val="000000"/>
                <w:szCs w:val="24"/>
              </w:rPr>
              <w:t>：</w:t>
            </w:r>
            <w:r w:rsidR="00B07A0A">
              <w:rPr>
                <w:rFonts w:hint="eastAsia"/>
                <w:b/>
                <w:color w:val="000000"/>
                <w:szCs w:val="24"/>
              </w:rPr>
              <w:t>请问公司产品在汽车电子方面的</w:t>
            </w:r>
            <w:r w:rsidR="002A712F">
              <w:rPr>
                <w:rFonts w:hint="eastAsia"/>
                <w:b/>
                <w:color w:val="000000"/>
                <w:szCs w:val="24"/>
              </w:rPr>
              <w:t>应用如何？</w:t>
            </w:r>
          </w:p>
          <w:p w:rsidR="0098394F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A:</w:t>
            </w:r>
            <w:r w:rsidR="00F0021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A712F" w:rsidRP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汽车电子</w:t>
            </w:r>
            <w:r w:rsid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配件中如</w:t>
            </w:r>
            <w:r w:rsidR="008E6E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车载摄像头、</w:t>
            </w:r>
            <w:r w:rsidR="002A712F" w:rsidRP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后视</w:t>
            </w:r>
            <w:r w:rsidR="008E6E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镜</w:t>
            </w:r>
            <w:r w:rsid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9839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领域，在后装市场</w:t>
            </w:r>
            <w:r w:rsidR="008E6E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proofErr w:type="gramStart"/>
            <w:r w:rsid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模拟高清产品</w:t>
            </w:r>
            <w:proofErr w:type="gramEnd"/>
            <w:r w:rsidR="009839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也有应用</w:t>
            </w:r>
            <w:r w:rsidR="00F0021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2322A" w:rsidRPr="00664817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755E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公司的客户构成情况？海外市场</w:t>
            </w:r>
            <w:r w:rsidR="008F748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情况如何</w:t>
            </w:r>
            <w:r w:rsidR="00755E4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E2322A" w:rsidRPr="00755E46" w:rsidRDefault="00E2322A" w:rsidP="006E0335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755E46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公司客户主要分为北区与南区，北区主要</w:t>
            </w:r>
            <w:r w:rsidR="008F7489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有</w:t>
            </w:r>
            <w:r w:rsidR="00755E46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海康、雄迈等，南区</w:t>
            </w:r>
            <w:r w:rsidR="008F7489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主要有</w:t>
            </w:r>
            <w:r w:rsidR="00755E46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长视、</w:t>
            </w:r>
            <w:proofErr w:type="gramStart"/>
            <w:r w:rsidR="00755E46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慧视等</w:t>
            </w:r>
            <w:proofErr w:type="gramEnd"/>
            <w:r w:rsidR="001F7B2F">
              <w:rPr>
                <w:rFonts w:ascii="Times New Roman" w:hAnsi="Times New Roman" w:hint="eastAsia"/>
                <w:kern w:val="0"/>
                <w:sz w:val="24"/>
                <w:szCs w:val="20"/>
              </w:rPr>
              <w:t>众多安</w:t>
            </w:r>
            <w:proofErr w:type="gramStart"/>
            <w:r w:rsidR="001F7B2F">
              <w:rPr>
                <w:rFonts w:ascii="Times New Roman" w:hAnsi="Times New Roman" w:hint="eastAsia"/>
                <w:kern w:val="0"/>
                <w:sz w:val="24"/>
                <w:szCs w:val="20"/>
              </w:rPr>
              <w:t>防</w:t>
            </w:r>
            <w:r w:rsidR="008F7489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企业</w:t>
            </w:r>
            <w:proofErr w:type="gramEnd"/>
            <w:r w:rsidR="001F7B2F">
              <w:rPr>
                <w:rFonts w:ascii="Times New Roman" w:hAnsi="Times New Roman" w:hint="eastAsia"/>
                <w:kern w:val="0"/>
                <w:sz w:val="24"/>
                <w:szCs w:val="20"/>
              </w:rPr>
              <w:t>客户</w:t>
            </w:r>
            <w:r w:rsidR="008F7489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。因公司下游安防视频监控设备厂商基本在国内，因此对于公司来说目前主要以国内设备厂商</w:t>
            </w:r>
            <w:r w:rsidR="0098394F">
              <w:rPr>
                <w:rFonts w:ascii="Times New Roman" w:hAnsi="Times New Roman" w:hint="eastAsia"/>
                <w:kern w:val="0"/>
                <w:sz w:val="24"/>
                <w:szCs w:val="20"/>
              </w:rPr>
              <w:t>市场为主，但公司今年以来加强海外推广力度，力争与海内外下游客户有</w:t>
            </w:r>
            <w:r w:rsid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更多</w:t>
            </w:r>
            <w:r w:rsidR="008F7489" w:rsidRPr="006E0335">
              <w:rPr>
                <w:rFonts w:ascii="Times New Roman" w:hAnsi="Times New Roman" w:hint="eastAsia"/>
                <w:kern w:val="0"/>
                <w:sz w:val="24"/>
                <w:szCs w:val="20"/>
              </w:rPr>
              <w:t>合作机会。</w:t>
            </w:r>
          </w:p>
          <w:p w:rsidR="00E2322A" w:rsidRPr="006C1C8C" w:rsidRDefault="00E2322A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3C5439" w:rsidRPr="007163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C1C8C" w:rsidRP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公司团队目前</w:t>
            </w:r>
            <w:proofErr w:type="gramStart"/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一</w:t>
            </w:r>
            <w:r w:rsidR="006C1C8C" w:rsidRP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年流片项目</w:t>
            </w:r>
            <w:proofErr w:type="gramEnd"/>
            <w:r w:rsidR="006E033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能力和</w:t>
            </w:r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构成</w:t>
            </w:r>
            <w:r w:rsidR="006C1C8C" w:rsidRP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3C5439" w:rsidRDefault="00E2322A" w:rsidP="006E0335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公司目前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正在做的</w:t>
            </w:r>
            <w:r w:rsidR="009839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和酝酿的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项目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包括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</w:t>
            </w:r>
            <w:r w:rsidR="00CE64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CE64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，大约有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4-5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。主要针对专业安防，也包括</w:t>
            </w:r>
            <w:proofErr w:type="gramStart"/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泛安防类</w:t>
            </w:r>
            <w:proofErr w:type="gramEnd"/>
            <w:r w:rsid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C1C8C" w:rsidRDefault="006C1C8C" w:rsidP="006C1C8C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：公司购置办公场地出于什么考虑？</w:t>
            </w:r>
          </w:p>
          <w:p w:rsidR="006C1C8C" w:rsidRPr="006C1C8C" w:rsidRDefault="006C1C8C" w:rsidP="006E0335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C543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：公司有进一步扩展研发团队的计划，现有场地</w:t>
            </w:r>
            <w:r w:rsidR="006E7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明显</w:t>
            </w:r>
            <w:r w:rsidR="0010419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不足，且出于成本核算、资产结构等考虑，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</w:t>
            </w:r>
            <w:r w:rsidR="00CE0E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自有资金购置。</w:t>
            </w:r>
          </w:p>
          <w:p w:rsidR="00E2322A" w:rsidRPr="006C1C8C" w:rsidRDefault="00E2322A" w:rsidP="006C1C8C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公司团队流动性大吗？公司</w:t>
            </w:r>
            <w:r w:rsidR="006E033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如何吸引并留住人才</w:t>
            </w:r>
            <w:r w:rsidR="006C1C8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E2322A" w:rsidRPr="00E808FC" w:rsidRDefault="00E2322A" w:rsidP="0041337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公司核心技术团队</w:t>
            </w:r>
            <w:r w:rsidR="00CE0E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长期稳定，主要来自本土名校，硕士以上</w:t>
            </w:r>
            <w:proofErr w:type="gramStart"/>
            <w:r w:rsidR="006E7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占比较</w:t>
            </w:r>
            <w:proofErr w:type="gramEnd"/>
            <w:r w:rsidR="006E7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高，主要</w:t>
            </w:r>
            <w:r w:rsidR="0041337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靠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自身培养，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公司会考虑合理有效的激励机制</w:t>
            </w:r>
            <w:r w:rsid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进一步吸引人才和激发核心团队</w:t>
            </w:r>
            <w:r w:rsidR="009839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的战斗力</w:t>
            </w:r>
            <w:r w:rsidR="006E03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6C1C8C" w:rsidRPr="006C1C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322A" w:rsidRPr="00974890" w:rsidTr="005A7BFF"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2940BE">
        <w:trPr>
          <w:trHeight w:val="388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E2322A" w:rsidRPr="00B04A94" w:rsidRDefault="00E2322A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B04A94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6E0335">
              <w:rPr>
                <w:rFonts w:ascii="Times New Roman" w:hAnsi="Times New Roman"/>
                <w:bCs/>
                <w:iCs/>
                <w:color w:val="000000"/>
                <w:sz w:val="24"/>
              </w:rPr>
              <w:t>0</w:t>
            </w:r>
            <w:r w:rsidR="006E033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6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6E0335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</w:t>
            </w:r>
            <w:r w:rsidRPr="00B04A94">
              <w:rPr>
                <w:rFonts w:ascii="Times New Roman" w:hAnsi="Times New Roman"/>
                <w:bCs/>
                <w:iCs/>
                <w:color w:val="000000"/>
                <w:sz w:val="24"/>
              </w:rPr>
              <w:t>3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2940BE">
      <w:pPr>
        <w:adjustRightInd w:val="0"/>
        <w:snapToGrid w:val="0"/>
        <w:spacing w:line="300" w:lineRule="auto"/>
      </w:pPr>
    </w:p>
    <w:sectPr w:rsidR="00E2322A" w:rsidSect="0012464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4B" w:rsidRDefault="00D7364B" w:rsidP="0001341D">
      <w:pPr>
        <w:spacing w:after="0" w:line="240" w:lineRule="auto"/>
      </w:pPr>
      <w:r>
        <w:separator/>
      </w:r>
    </w:p>
  </w:endnote>
  <w:endnote w:type="continuationSeparator" w:id="0">
    <w:p w:rsidR="00D7364B" w:rsidRDefault="00D7364B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6BE">
      <w:rPr>
        <w:rStyle w:val="a6"/>
        <w:noProof/>
      </w:rPr>
      <w:t>2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4B" w:rsidRDefault="00D7364B" w:rsidP="0001341D">
      <w:pPr>
        <w:spacing w:after="0" w:line="240" w:lineRule="auto"/>
      </w:pPr>
      <w:r>
        <w:separator/>
      </w:r>
    </w:p>
  </w:footnote>
  <w:footnote w:type="continuationSeparator" w:id="0">
    <w:p w:rsidR="00D7364B" w:rsidRDefault="00D7364B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341D"/>
    <w:rsid w:val="0002086D"/>
    <w:rsid w:val="000660A4"/>
    <w:rsid w:val="000712A4"/>
    <w:rsid w:val="00072FE7"/>
    <w:rsid w:val="00073C9C"/>
    <w:rsid w:val="00074455"/>
    <w:rsid w:val="00093C72"/>
    <w:rsid w:val="000971D9"/>
    <w:rsid w:val="000B2112"/>
    <w:rsid w:val="000C4BC6"/>
    <w:rsid w:val="000D60C2"/>
    <w:rsid w:val="000E22C3"/>
    <w:rsid w:val="000E7865"/>
    <w:rsid w:val="000E7BE1"/>
    <w:rsid w:val="000F4889"/>
    <w:rsid w:val="0010419A"/>
    <w:rsid w:val="00112D73"/>
    <w:rsid w:val="00122471"/>
    <w:rsid w:val="0012464C"/>
    <w:rsid w:val="00137ABA"/>
    <w:rsid w:val="00145BE6"/>
    <w:rsid w:val="00154AA5"/>
    <w:rsid w:val="0016722F"/>
    <w:rsid w:val="00170D53"/>
    <w:rsid w:val="001732CE"/>
    <w:rsid w:val="001A12CF"/>
    <w:rsid w:val="001A5037"/>
    <w:rsid w:val="001B1D4B"/>
    <w:rsid w:val="001B3AF0"/>
    <w:rsid w:val="001B711C"/>
    <w:rsid w:val="001C4089"/>
    <w:rsid w:val="001D557B"/>
    <w:rsid w:val="001E6D7E"/>
    <w:rsid w:val="001F41DE"/>
    <w:rsid w:val="001F6DF9"/>
    <w:rsid w:val="001F7B2F"/>
    <w:rsid w:val="002050D7"/>
    <w:rsid w:val="00232F21"/>
    <w:rsid w:val="002401F1"/>
    <w:rsid w:val="0024287B"/>
    <w:rsid w:val="00250239"/>
    <w:rsid w:val="00252935"/>
    <w:rsid w:val="002574D7"/>
    <w:rsid w:val="00264C5D"/>
    <w:rsid w:val="002857DD"/>
    <w:rsid w:val="00287A5A"/>
    <w:rsid w:val="002940BE"/>
    <w:rsid w:val="002A712F"/>
    <w:rsid w:val="002B10D6"/>
    <w:rsid w:val="002D36A1"/>
    <w:rsid w:val="002D3FF4"/>
    <w:rsid w:val="002E258A"/>
    <w:rsid w:val="002F0F58"/>
    <w:rsid w:val="002F105D"/>
    <w:rsid w:val="002F5FD5"/>
    <w:rsid w:val="00302CF8"/>
    <w:rsid w:val="00303D79"/>
    <w:rsid w:val="00313C4C"/>
    <w:rsid w:val="003148CD"/>
    <w:rsid w:val="00317633"/>
    <w:rsid w:val="00342685"/>
    <w:rsid w:val="00364412"/>
    <w:rsid w:val="00371B72"/>
    <w:rsid w:val="0037666F"/>
    <w:rsid w:val="0037683B"/>
    <w:rsid w:val="00384D08"/>
    <w:rsid w:val="00386085"/>
    <w:rsid w:val="00390CF2"/>
    <w:rsid w:val="00395847"/>
    <w:rsid w:val="003A7EDD"/>
    <w:rsid w:val="003B71FF"/>
    <w:rsid w:val="003C5439"/>
    <w:rsid w:val="003D0158"/>
    <w:rsid w:val="003D1507"/>
    <w:rsid w:val="003E2DBD"/>
    <w:rsid w:val="004019E0"/>
    <w:rsid w:val="00403D52"/>
    <w:rsid w:val="00413377"/>
    <w:rsid w:val="004326E8"/>
    <w:rsid w:val="004349B2"/>
    <w:rsid w:val="00436450"/>
    <w:rsid w:val="0043728F"/>
    <w:rsid w:val="00453478"/>
    <w:rsid w:val="00457772"/>
    <w:rsid w:val="004643F1"/>
    <w:rsid w:val="0048259B"/>
    <w:rsid w:val="00483E2F"/>
    <w:rsid w:val="00491C09"/>
    <w:rsid w:val="004967B8"/>
    <w:rsid w:val="004B4309"/>
    <w:rsid w:val="004C1E61"/>
    <w:rsid w:val="004C4F32"/>
    <w:rsid w:val="004D1BA0"/>
    <w:rsid w:val="004D1D72"/>
    <w:rsid w:val="004D22A5"/>
    <w:rsid w:val="004D5448"/>
    <w:rsid w:val="00505EE6"/>
    <w:rsid w:val="005206EB"/>
    <w:rsid w:val="00524AA0"/>
    <w:rsid w:val="00526D42"/>
    <w:rsid w:val="005308AA"/>
    <w:rsid w:val="005349A2"/>
    <w:rsid w:val="005350A8"/>
    <w:rsid w:val="005471BE"/>
    <w:rsid w:val="00592F17"/>
    <w:rsid w:val="005A7BFF"/>
    <w:rsid w:val="005B19C4"/>
    <w:rsid w:val="005B4214"/>
    <w:rsid w:val="005C4ABB"/>
    <w:rsid w:val="005C5A14"/>
    <w:rsid w:val="005E0896"/>
    <w:rsid w:val="005F7A68"/>
    <w:rsid w:val="005F7E7E"/>
    <w:rsid w:val="00601295"/>
    <w:rsid w:val="0062416D"/>
    <w:rsid w:val="00664817"/>
    <w:rsid w:val="00665937"/>
    <w:rsid w:val="006A796A"/>
    <w:rsid w:val="006B14F6"/>
    <w:rsid w:val="006B65C2"/>
    <w:rsid w:val="006C19CB"/>
    <w:rsid w:val="006C1C8C"/>
    <w:rsid w:val="006D1018"/>
    <w:rsid w:val="006D2B95"/>
    <w:rsid w:val="006D5156"/>
    <w:rsid w:val="006E0335"/>
    <w:rsid w:val="006E7B9D"/>
    <w:rsid w:val="006F4C41"/>
    <w:rsid w:val="007013AD"/>
    <w:rsid w:val="007062E3"/>
    <w:rsid w:val="007159C3"/>
    <w:rsid w:val="00716380"/>
    <w:rsid w:val="00721496"/>
    <w:rsid w:val="00722FDB"/>
    <w:rsid w:val="00737058"/>
    <w:rsid w:val="00737781"/>
    <w:rsid w:val="00755E46"/>
    <w:rsid w:val="00763660"/>
    <w:rsid w:val="007B0C14"/>
    <w:rsid w:val="007B60F8"/>
    <w:rsid w:val="007E0D1B"/>
    <w:rsid w:val="007E3680"/>
    <w:rsid w:val="007E410F"/>
    <w:rsid w:val="007F2C0A"/>
    <w:rsid w:val="007F63E4"/>
    <w:rsid w:val="008170CC"/>
    <w:rsid w:val="00825AC4"/>
    <w:rsid w:val="00863580"/>
    <w:rsid w:val="008917F7"/>
    <w:rsid w:val="00896F1C"/>
    <w:rsid w:val="008A186F"/>
    <w:rsid w:val="008B0898"/>
    <w:rsid w:val="008C3916"/>
    <w:rsid w:val="008C5966"/>
    <w:rsid w:val="008C5D1B"/>
    <w:rsid w:val="008D0C34"/>
    <w:rsid w:val="008D2BAA"/>
    <w:rsid w:val="008E6E7D"/>
    <w:rsid w:val="008F421B"/>
    <w:rsid w:val="008F6F5F"/>
    <w:rsid w:val="008F7489"/>
    <w:rsid w:val="00900716"/>
    <w:rsid w:val="009065B6"/>
    <w:rsid w:val="009245B7"/>
    <w:rsid w:val="00925157"/>
    <w:rsid w:val="00926F7D"/>
    <w:rsid w:val="00927F08"/>
    <w:rsid w:val="009403F5"/>
    <w:rsid w:val="00940CF7"/>
    <w:rsid w:val="009423C7"/>
    <w:rsid w:val="00950819"/>
    <w:rsid w:val="00956A4A"/>
    <w:rsid w:val="00972B1C"/>
    <w:rsid w:val="00974890"/>
    <w:rsid w:val="009816F8"/>
    <w:rsid w:val="0098394F"/>
    <w:rsid w:val="00990276"/>
    <w:rsid w:val="00990FCF"/>
    <w:rsid w:val="009B2DAE"/>
    <w:rsid w:val="009D3B16"/>
    <w:rsid w:val="009D6051"/>
    <w:rsid w:val="009E59DE"/>
    <w:rsid w:val="009E5A81"/>
    <w:rsid w:val="00A05721"/>
    <w:rsid w:val="00A37636"/>
    <w:rsid w:val="00A43D59"/>
    <w:rsid w:val="00A46ECE"/>
    <w:rsid w:val="00A74198"/>
    <w:rsid w:val="00A87798"/>
    <w:rsid w:val="00AA0B7F"/>
    <w:rsid w:val="00AA0E83"/>
    <w:rsid w:val="00AA345D"/>
    <w:rsid w:val="00AA77CE"/>
    <w:rsid w:val="00AB3BF9"/>
    <w:rsid w:val="00AE56F2"/>
    <w:rsid w:val="00AF3042"/>
    <w:rsid w:val="00B0277B"/>
    <w:rsid w:val="00B04A94"/>
    <w:rsid w:val="00B06DCD"/>
    <w:rsid w:val="00B07A0A"/>
    <w:rsid w:val="00B13E2B"/>
    <w:rsid w:val="00B21A86"/>
    <w:rsid w:val="00B24522"/>
    <w:rsid w:val="00B27C59"/>
    <w:rsid w:val="00B333D9"/>
    <w:rsid w:val="00B35DE3"/>
    <w:rsid w:val="00B55BCC"/>
    <w:rsid w:val="00B763BB"/>
    <w:rsid w:val="00B85552"/>
    <w:rsid w:val="00BA2334"/>
    <w:rsid w:val="00BC69C8"/>
    <w:rsid w:val="00BE439D"/>
    <w:rsid w:val="00BE66BE"/>
    <w:rsid w:val="00BF2E50"/>
    <w:rsid w:val="00C17F52"/>
    <w:rsid w:val="00C334C4"/>
    <w:rsid w:val="00C40110"/>
    <w:rsid w:val="00C47253"/>
    <w:rsid w:val="00C57226"/>
    <w:rsid w:val="00C774FF"/>
    <w:rsid w:val="00C9042F"/>
    <w:rsid w:val="00C9214E"/>
    <w:rsid w:val="00C935CC"/>
    <w:rsid w:val="00CA6BAA"/>
    <w:rsid w:val="00CB4BDA"/>
    <w:rsid w:val="00CB7CD2"/>
    <w:rsid w:val="00CC159D"/>
    <w:rsid w:val="00CC28C6"/>
    <w:rsid w:val="00CD4867"/>
    <w:rsid w:val="00CD5644"/>
    <w:rsid w:val="00CE0E3D"/>
    <w:rsid w:val="00CE64EA"/>
    <w:rsid w:val="00CF25FD"/>
    <w:rsid w:val="00D06191"/>
    <w:rsid w:val="00D0757A"/>
    <w:rsid w:val="00D14D38"/>
    <w:rsid w:val="00D2785A"/>
    <w:rsid w:val="00D36139"/>
    <w:rsid w:val="00D42815"/>
    <w:rsid w:val="00D5713C"/>
    <w:rsid w:val="00D601C4"/>
    <w:rsid w:val="00D61CC0"/>
    <w:rsid w:val="00D623F7"/>
    <w:rsid w:val="00D66838"/>
    <w:rsid w:val="00D70C72"/>
    <w:rsid w:val="00D7364B"/>
    <w:rsid w:val="00D768BE"/>
    <w:rsid w:val="00DA2255"/>
    <w:rsid w:val="00DC166B"/>
    <w:rsid w:val="00E2322A"/>
    <w:rsid w:val="00E24B81"/>
    <w:rsid w:val="00E5407F"/>
    <w:rsid w:val="00E57BB1"/>
    <w:rsid w:val="00E65513"/>
    <w:rsid w:val="00E70AAC"/>
    <w:rsid w:val="00E723C9"/>
    <w:rsid w:val="00E75C0C"/>
    <w:rsid w:val="00E808FC"/>
    <w:rsid w:val="00E852C0"/>
    <w:rsid w:val="00E92BCB"/>
    <w:rsid w:val="00E95D08"/>
    <w:rsid w:val="00EA0976"/>
    <w:rsid w:val="00EA2EAF"/>
    <w:rsid w:val="00EA5649"/>
    <w:rsid w:val="00ED6540"/>
    <w:rsid w:val="00ED7516"/>
    <w:rsid w:val="00F0021E"/>
    <w:rsid w:val="00F05823"/>
    <w:rsid w:val="00F13689"/>
    <w:rsid w:val="00F15766"/>
    <w:rsid w:val="00F15E9E"/>
    <w:rsid w:val="00F21E14"/>
    <w:rsid w:val="00F2214D"/>
    <w:rsid w:val="00F3043A"/>
    <w:rsid w:val="00F31704"/>
    <w:rsid w:val="00F351C2"/>
    <w:rsid w:val="00F363C4"/>
    <w:rsid w:val="00F61A0C"/>
    <w:rsid w:val="00F65430"/>
    <w:rsid w:val="00F7066B"/>
    <w:rsid w:val="00F849C7"/>
    <w:rsid w:val="00F85B51"/>
    <w:rsid w:val="00F93E44"/>
    <w:rsid w:val="00FA7086"/>
    <w:rsid w:val="00FB7BF1"/>
    <w:rsid w:val="00FC272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1221</Words>
  <Characters>257</Characters>
  <Application>Microsoft Office Word</Application>
  <DocSecurity>0</DocSecurity>
  <Lines>2</Lines>
  <Paragraphs>2</Paragraphs>
  <ScaleCrop>false</ScaleCrop>
  <Company>微软中国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creator>joker</dc:creator>
  <cp:lastModifiedBy>余滢</cp:lastModifiedBy>
  <cp:revision>7</cp:revision>
  <dcterms:created xsi:type="dcterms:W3CDTF">2017-06-14T04:21:00Z</dcterms:created>
  <dcterms:modified xsi:type="dcterms:W3CDTF">2017-06-14T10:54:00Z</dcterms:modified>
</cp:coreProperties>
</file>