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C6739">
        <w:tc>
          <w:tcPr>
            <w:tcW w:w="4261" w:type="dxa"/>
          </w:tcPr>
          <w:p w:rsidR="00DC6739" w:rsidRDefault="00F51A60" w:rsidP="00C63327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:rsidR="00DC6739" w:rsidRDefault="00F51A60" w:rsidP="00C63327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:rsidR="00DC6739" w:rsidRDefault="00DC6739" w:rsidP="00C63327">
      <w:pPr>
        <w:spacing w:beforeLines="50" w:before="156" w:afterLines="50" w:after="156" w:line="400" w:lineRule="exact"/>
        <w:rPr>
          <w:bCs/>
          <w:iCs/>
          <w:sz w:val="24"/>
        </w:rPr>
      </w:pPr>
    </w:p>
    <w:p w:rsidR="00DC6739" w:rsidRDefault="00F51A60" w:rsidP="00C63327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:rsidR="00DC6739" w:rsidRDefault="00F51A60" w:rsidP="00C63327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:rsidR="00DC6739" w:rsidRDefault="00F51A60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 w:rsidR="001109AF">
        <w:rPr>
          <w:rFonts w:hint="eastAsia"/>
          <w:bCs/>
          <w:iCs/>
          <w:sz w:val="24"/>
          <w:szCs w:val="24"/>
        </w:rPr>
        <w:t>2017-07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DC6739" w:rsidRDefault="00F51A60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DC6739" w:rsidRDefault="00F51A60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:rsidR="005A0F1B" w:rsidRDefault="00E87F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润晖投资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闵昱</w:t>
            </w:r>
          </w:p>
          <w:p w:rsidR="00E87F69" w:rsidRDefault="00E87F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Cs/>
                <w:iCs/>
                <w:sz w:val="24"/>
                <w:szCs w:val="24"/>
              </w:rPr>
              <w:t>李勇</w:t>
            </w:r>
          </w:p>
          <w:p w:rsidR="00E87F69" w:rsidRDefault="00E87F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裴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愔愔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E87F69"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1241C9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E87F69"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</w:p>
          <w:p w:rsidR="00844C89" w:rsidRDefault="00844C8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证券事务代表曹芳</w:t>
            </w:r>
          </w:p>
        </w:tc>
      </w:tr>
      <w:tr w:rsidR="00DC6739">
        <w:trPr>
          <w:trHeight w:val="1125"/>
        </w:trPr>
        <w:tc>
          <w:tcPr>
            <w:tcW w:w="8758" w:type="dxa"/>
            <w:gridSpan w:val="2"/>
          </w:tcPr>
          <w:p w:rsidR="00E87F69" w:rsidRPr="00CE49BD" w:rsidRDefault="00BF4EBE" w:rsidP="00CE49BD">
            <w:pPr>
              <w:pStyle w:val="ae"/>
              <w:spacing w:line="480" w:lineRule="atLeast"/>
              <w:ind w:left="360" w:firstLineChars="1300" w:firstLine="3132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会谈内容</w:t>
            </w:r>
          </w:p>
          <w:p w:rsidR="00381347" w:rsidRPr="004B6DD9" w:rsidRDefault="004B6DD9" w:rsidP="004B6DD9">
            <w:pPr>
              <w:pStyle w:val="ae"/>
              <w:numPr>
                <w:ilvl w:val="0"/>
                <w:numId w:val="5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 w:rsidRPr="004B6DD9">
              <w:rPr>
                <w:rFonts w:hint="eastAsia"/>
                <w:b/>
                <w:bCs/>
                <w:iCs/>
                <w:sz w:val="24"/>
                <w:szCs w:val="24"/>
              </w:rPr>
              <w:t>对行业集中度的看法以及固定资产投资计划？</w:t>
            </w:r>
          </w:p>
          <w:p w:rsidR="004B6DD9" w:rsidRPr="004B6DD9" w:rsidRDefault="004B6DD9" w:rsidP="004B6DD9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B6DD9">
              <w:rPr>
                <w:rFonts w:ascii="宋体" w:hAnsi="宋体" w:hint="eastAsia"/>
                <w:sz w:val="24"/>
                <w:szCs w:val="24"/>
              </w:rPr>
              <w:t>中国目前的生猪养殖业整体上处于一个分散且低效率的阶段。行业的升级必然伴随着固定资产的更新换代，初步估算，行业升级需要2000亿元以上的固定资产更新，所以行业集中度的提高不是短时间就能解决的</w:t>
            </w:r>
            <w:r w:rsidR="00984E7F">
              <w:rPr>
                <w:rFonts w:ascii="宋体" w:hAnsi="宋体" w:hint="eastAsia"/>
                <w:sz w:val="24"/>
                <w:szCs w:val="24"/>
              </w:rPr>
              <w:t>。</w:t>
            </w:r>
            <w:r w:rsidRPr="004B6DD9">
              <w:rPr>
                <w:rFonts w:ascii="宋体" w:hAnsi="宋体" w:hint="eastAsia"/>
                <w:sz w:val="24"/>
                <w:szCs w:val="24"/>
              </w:rPr>
              <w:t>目前来看，除了少数大企业每年几十亿的投资，其他很少有上10亿级别的固定资产投资，所以行业升级</w:t>
            </w:r>
            <w:r w:rsidR="00725DD0">
              <w:rPr>
                <w:rFonts w:ascii="宋体" w:hAnsi="宋体" w:hint="eastAsia"/>
                <w:sz w:val="24"/>
                <w:szCs w:val="24"/>
              </w:rPr>
              <w:t>的时间</w:t>
            </w:r>
            <w:r w:rsidRPr="004B6DD9">
              <w:rPr>
                <w:rFonts w:ascii="宋体" w:hAnsi="宋体" w:hint="eastAsia"/>
                <w:sz w:val="24"/>
                <w:szCs w:val="24"/>
              </w:rPr>
              <w:t>至少以5-10年为单位。</w:t>
            </w:r>
          </w:p>
          <w:p w:rsidR="004B6DD9" w:rsidRPr="004B6DD9" w:rsidRDefault="004B6DD9" w:rsidP="004B6DD9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B6DD9">
              <w:rPr>
                <w:rFonts w:ascii="宋体" w:hAnsi="宋体" w:hint="eastAsia"/>
                <w:sz w:val="24"/>
                <w:szCs w:val="24"/>
              </w:rPr>
              <w:t>公司坚持以</w:t>
            </w:r>
            <w:r w:rsidR="00E9483A">
              <w:rPr>
                <w:rFonts w:ascii="宋体" w:hAnsi="宋体" w:hint="eastAsia"/>
                <w:sz w:val="24"/>
                <w:szCs w:val="24"/>
              </w:rPr>
              <w:t>集约化</w:t>
            </w:r>
            <w:r>
              <w:rPr>
                <w:rFonts w:ascii="宋体" w:hAnsi="宋体" w:hint="eastAsia"/>
                <w:sz w:val="24"/>
                <w:szCs w:val="24"/>
              </w:rPr>
              <w:t>的养殖模式，在食品安全、环保和成本方面具有明显的优势。</w:t>
            </w:r>
            <w:r w:rsidRPr="004B6DD9">
              <w:rPr>
                <w:rFonts w:ascii="宋体" w:hAnsi="宋体" w:hint="eastAsia"/>
                <w:sz w:val="24"/>
                <w:szCs w:val="24"/>
              </w:rPr>
              <w:t>目前已经在全国</w:t>
            </w:r>
            <w:r w:rsidRPr="004B6DD9">
              <w:rPr>
                <w:rFonts w:ascii="宋体" w:hAnsi="宋体"/>
                <w:sz w:val="24"/>
                <w:szCs w:val="24"/>
              </w:rPr>
              <w:t>1</w:t>
            </w:r>
            <w:r w:rsidRPr="004B6DD9">
              <w:rPr>
                <w:rFonts w:ascii="宋体" w:hAnsi="宋体" w:hint="eastAsia"/>
                <w:sz w:val="24"/>
                <w:szCs w:val="24"/>
              </w:rPr>
              <w:t>2个省设立了66家全资子公司，</w:t>
            </w:r>
            <w:r w:rsidRPr="004B6DD9">
              <w:rPr>
                <w:rFonts w:ascii="宋体" w:hAnsi="宋体"/>
                <w:sz w:val="24"/>
                <w:szCs w:val="24"/>
              </w:rPr>
              <w:t>2</w:t>
            </w:r>
            <w:r w:rsidRPr="004B6DD9">
              <w:rPr>
                <w:rFonts w:ascii="宋体" w:hAnsi="宋体" w:hint="eastAsia"/>
                <w:sz w:val="24"/>
                <w:szCs w:val="24"/>
              </w:rPr>
              <w:t>016年的资本支出在40</w:t>
            </w:r>
            <w:r>
              <w:rPr>
                <w:rFonts w:ascii="宋体" w:hAnsi="宋体" w:hint="eastAsia"/>
                <w:sz w:val="24"/>
                <w:szCs w:val="24"/>
              </w:rPr>
              <w:t>亿元左右。</w:t>
            </w:r>
            <w:r w:rsidRPr="004B6DD9">
              <w:rPr>
                <w:rFonts w:ascii="宋体" w:hAnsi="宋体" w:hint="eastAsia"/>
                <w:sz w:val="24"/>
                <w:szCs w:val="24"/>
              </w:rPr>
              <w:t>由于行业集中度较低，所以长期来看，公司的固定资产会是增加的，但也会根</w:t>
            </w:r>
            <w:r w:rsidRPr="004B6DD9">
              <w:rPr>
                <w:rFonts w:ascii="宋体" w:hAnsi="宋体" w:hint="eastAsia"/>
                <w:sz w:val="24"/>
                <w:szCs w:val="24"/>
              </w:rPr>
              <w:lastRenderedPageBreak/>
              <w:t>据市场情况调整进度，与现金流和盈利水平相匹配。</w:t>
            </w:r>
          </w:p>
          <w:p w:rsidR="00BD7CAF" w:rsidRPr="00BD7CAF" w:rsidRDefault="00BD7CAF" w:rsidP="004B6DD9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  <w:p w:rsidR="004B6DD9" w:rsidRDefault="00F51A60" w:rsidP="004B6DD9">
            <w:pPr>
              <w:pStyle w:val="af"/>
              <w:spacing w:before="0" w:beforeAutospacing="0" w:after="0" w:afterAutospacing="0"/>
              <w:rPr>
                <w:rFonts w:ascii="微软雅黑" w:eastAsia="微软雅黑" w:hAnsi="微软雅黑" w:cs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>2</w:t>
            </w:r>
            <w:r>
              <w:rPr>
                <w:rFonts w:hint="eastAsia"/>
                <w:b/>
                <w:bCs/>
                <w:iCs/>
              </w:rPr>
              <w:t>．</w:t>
            </w:r>
            <w:r w:rsidR="004B6DD9">
              <w:rPr>
                <w:rFonts w:ascii="微软雅黑" w:eastAsia="微软雅黑" w:hAnsi="微软雅黑" w:cs="Calibri" w:hint="eastAsia"/>
                <w:sz w:val="22"/>
                <w:szCs w:val="22"/>
              </w:rPr>
              <w:t> </w:t>
            </w:r>
            <w:r w:rsidR="004B6DD9" w:rsidRPr="004B6DD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环保力度加大是否会对公司造成明显影响？</w:t>
            </w:r>
          </w:p>
          <w:p w:rsidR="004B6DD9" w:rsidRPr="0067431E" w:rsidRDefault="004B6DD9" w:rsidP="00BC76EF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7431E">
              <w:rPr>
                <w:rFonts w:ascii="宋体" w:hAnsi="宋体" w:hint="eastAsia"/>
                <w:sz w:val="24"/>
                <w:szCs w:val="24"/>
              </w:rPr>
              <w:t>公司多年来一直重视环保工作，</w:t>
            </w:r>
            <w:r w:rsidR="00984E7F">
              <w:rPr>
                <w:rFonts w:ascii="宋体" w:hAnsi="宋体" w:hint="eastAsia"/>
                <w:sz w:val="24"/>
                <w:szCs w:val="24"/>
              </w:rPr>
              <w:t>环保工艺处于国内领先水平。环保是否会约束行业发展，要辩证的看待。</w:t>
            </w:r>
            <w:r w:rsidRPr="0067431E">
              <w:rPr>
                <w:rFonts w:ascii="宋体" w:hAnsi="宋体" w:hint="eastAsia"/>
                <w:sz w:val="24"/>
                <w:szCs w:val="24"/>
              </w:rPr>
              <w:t>环保政策的趋</w:t>
            </w:r>
            <w:proofErr w:type="gramStart"/>
            <w:r w:rsidRPr="0067431E">
              <w:rPr>
                <w:rFonts w:ascii="宋体" w:hAnsi="宋体" w:hint="eastAsia"/>
                <w:sz w:val="24"/>
                <w:szCs w:val="24"/>
              </w:rPr>
              <w:t>严以及</w:t>
            </w:r>
            <w:proofErr w:type="gramEnd"/>
            <w:r w:rsidRPr="0067431E">
              <w:rPr>
                <w:rFonts w:ascii="宋体" w:hAnsi="宋体" w:hint="eastAsia"/>
                <w:sz w:val="24"/>
                <w:szCs w:val="24"/>
              </w:rPr>
              <w:t>环保标准的提高，有利于行业的规范和环境友好型社会</w:t>
            </w:r>
            <w:r w:rsidR="00725DD0">
              <w:rPr>
                <w:rFonts w:ascii="宋体" w:hAnsi="宋体" w:hint="eastAsia"/>
                <w:sz w:val="24"/>
                <w:szCs w:val="24"/>
              </w:rPr>
              <w:t>的</w:t>
            </w:r>
            <w:r w:rsidR="00725DD0" w:rsidRPr="0067431E">
              <w:rPr>
                <w:rFonts w:ascii="宋体" w:hAnsi="宋体" w:hint="eastAsia"/>
                <w:sz w:val="24"/>
                <w:szCs w:val="24"/>
              </w:rPr>
              <w:t>营造</w:t>
            </w:r>
            <w:r w:rsidRPr="0067431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B6DD9" w:rsidRPr="0067431E" w:rsidRDefault="004B6DD9" w:rsidP="00BC76EF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7431E">
              <w:rPr>
                <w:rFonts w:ascii="宋体" w:hAnsi="宋体" w:hint="eastAsia"/>
                <w:sz w:val="24"/>
                <w:szCs w:val="24"/>
              </w:rPr>
              <w:t>目前严格的环保政策反而成为了公司发展的核心竞争力之一。经过</w:t>
            </w:r>
            <w:r w:rsidRPr="0067431E">
              <w:rPr>
                <w:rFonts w:ascii="宋体" w:hAnsi="宋体"/>
                <w:sz w:val="24"/>
                <w:szCs w:val="24"/>
              </w:rPr>
              <w:t>2</w:t>
            </w:r>
            <w:r w:rsidRPr="0067431E">
              <w:rPr>
                <w:rFonts w:ascii="宋体" w:hAnsi="宋体" w:hint="eastAsia"/>
                <w:sz w:val="24"/>
                <w:szCs w:val="24"/>
              </w:rPr>
              <w:t>0多年的发展，公司</w:t>
            </w:r>
            <w:r w:rsidR="00984E7F">
              <w:rPr>
                <w:rFonts w:ascii="宋体" w:hAnsi="宋体" w:hint="eastAsia"/>
                <w:sz w:val="24"/>
                <w:szCs w:val="24"/>
              </w:rPr>
              <w:t>已经形成了一套成熟的环保工艺，探索出了“猪养田”的种养循环模式。种养循环</w:t>
            </w:r>
            <w:r w:rsidR="00984E7F" w:rsidRPr="0067431E">
              <w:rPr>
                <w:rFonts w:ascii="宋体" w:hAnsi="宋体" w:hint="eastAsia"/>
                <w:sz w:val="24"/>
                <w:szCs w:val="24"/>
              </w:rPr>
              <w:t>模式也是当前环保部推行的主要模式</w:t>
            </w:r>
            <w:r w:rsidR="00984E7F">
              <w:rPr>
                <w:rFonts w:ascii="宋体" w:hAnsi="宋体" w:hint="eastAsia"/>
                <w:sz w:val="24"/>
                <w:szCs w:val="24"/>
              </w:rPr>
              <w:t>。公司</w:t>
            </w:r>
            <w:r w:rsidRPr="0067431E">
              <w:rPr>
                <w:rFonts w:ascii="宋体" w:hAnsi="宋体" w:hint="eastAsia"/>
                <w:sz w:val="24"/>
                <w:szCs w:val="24"/>
              </w:rPr>
              <w:t>在符合国家</w:t>
            </w:r>
            <w:r w:rsidR="00984E7F">
              <w:rPr>
                <w:rFonts w:ascii="宋体" w:hAnsi="宋体" w:hint="eastAsia"/>
                <w:sz w:val="24"/>
                <w:szCs w:val="24"/>
              </w:rPr>
              <w:t>环保</w:t>
            </w:r>
            <w:r w:rsidRPr="0067431E">
              <w:rPr>
                <w:rFonts w:ascii="宋体" w:hAnsi="宋体" w:hint="eastAsia"/>
                <w:sz w:val="24"/>
                <w:szCs w:val="24"/>
              </w:rPr>
              <w:t>标准的基础上，不断自我加压，内部设</w:t>
            </w:r>
            <w:r w:rsidR="00984E7F">
              <w:rPr>
                <w:rFonts w:ascii="宋体" w:hAnsi="宋体" w:hint="eastAsia"/>
                <w:sz w:val="24"/>
                <w:szCs w:val="24"/>
              </w:rPr>
              <w:t>立高于国家要求的环保标准，不断进行技术攻关和革新。</w:t>
            </w:r>
          </w:p>
          <w:p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  <w:p w:rsidR="004B6DD9" w:rsidRDefault="00E87F69" w:rsidP="00E87F69">
            <w:pPr>
              <w:pStyle w:val="ae"/>
              <w:numPr>
                <w:ilvl w:val="0"/>
                <w:numId w:val="6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 xml:space="preserve"> </w:t>
            </w:r>
            <w:r w:rsidR="004B6DD9" w:rsidRPr="00E87F69">
              <w:rPr>
                <w:rFonts w:hint="eastAsia"/>
                <w:b/>
                <w:bCs/>
                <w:iCs/>
                <w:sz w:val="24"/>
                <w:szCs w:val="24"/>
              </w:rPr>
              <w:t>国内生猪养殖</w:t>
            </w:r>
            <w:r w:rsidR="00984E7F">
              <w:rPr>
                <w:rFonts w:hint="eastAsia"/>
                <w:b/>
                <w:bCs/>
                <w:iCs/>
                <w:sz w:val="24"/>
                <w:szCs w:val="24"/>
              </w:rPr>
              <w:t>企业和国外成熟的企业</w:t>
            </w:r>
            <w:r w:rsidR="004B6DD9" w:rsidRPr="00E87F69">
              <w:rPr>
                <w:rFonts w:hint="eastAsia"/>
                <w:b/>
                <w:bCs/>
                <w:iCs/>
                <w:sz w:val="24"/>
                <w:szCs w:val="24"/>
              </w:rPr>
              <w:t>差距在哪里？</w:t>
            </w:r>
          </w:p>
          <w:p w:rsidR="0049672A" w:rsidRPr="0049672A" w:rsidRDefault="0049672A" w:rsidP="0049672A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9672A">
              <w:rPr>
                <w:rFonts w:ascii="宋体" w:hAnsi="宋体" w:hint="eastAsia"/>
                <w:sz w:val="24"/>
                <w:szCs w:val="24"/>
              </w:rPr>
              <w:t>从结果来看，母猪的生产效率、仔猪的生长性能都有差距，主要是健康环境的管理存在差异。</w:t>
            </w:r>
          </w:p>
          <w:p w:rsidR="0049672A" w:rsidRPr="0049672A" w:rsidRDefault="0049672A" w:rsidP="0049672A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9672A">
              <w:rPr>
                <w:rFonts w:ascii="宋体" w:hAnsi="宋体" w:hint="eastAsia"/>
                <w:sz w:val="24"/>
                <w:szCs w:val="24"/>
              </w:rPr>
              <w:t>公司一直秉承“养重于防，防重于治，综合防治”的理念，从猪场选址、场区布局、防疫制度、舍内小环境控制、疫病预警系统、防疫技术、兽医人才队伍等多个方面，建立了完善有效的疫病控制综合系统。目前兽医部设研发中心、预防中心、临床控制中心三个组成部分，定期邀请国际专家</w:t>
            </w:r>
            <w:r w:rsidR="00725DD0">
              <w:rPr>
                <w:rFonts w:ascii="宋体" w:hAnsi="宋体" w:hint="eastAsia"/>
                <w:sz w:val="24"/>
                <w:szCs w:val="24"/>
              </w:rPr>
              <w:t>现</w:t>
            </w:r>
            <w:r w:rsidRPr="0049672A">
              <w:rPr>
                <w:rFonts w:ascii="宋体" w:hAnsi="宋体" w:hint="eastAsia"/>
                <w:sz w:val="24"/>
                <w:szCs w:val="24"/>
              </w:rPr>
              <w:t>场培训指导，建立了</w:t>
            </w:r>
            <w:proofErr w:type="gramStart"/>
            <w:r w:rsidRPr="0049672A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49672A">
              <w:rPr>
                <w:rFonts w:ascii="宋体" w:hAnsi="宋体" w:hint="eastAsia"/>
                <w:sz w:val="24"/>
                <w:szCs w:val="24"/>
              </w:rPr>
              <w:t>支具有国际化的专业兽医团队。</w:t>
            </w:r>
          </w:p>
          <w:p w:rsidR="0049672A" w:rsidRPr="0049672A" w:rsidRDefault="0049672A" w:rsidP="0049672A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  <w:p w:rsidR="00AA62CC" w:rsidRPr="00AA62CC" w:rsidRDefault="000031EC" w:rsidP="001241C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="00E9483A">
              <w:rPr>
                <w:rFonts w:hint="eastAsia"/>
                <w:b/>
                <w:bCs/>
                <w:iCs/>
                <w:sz w:val="24"/>
                <w:szCs w:val="24"/>
              </w:rPr>
              <w:t>能否</w:t>
            </w:r>
            <w:r w:rsidR="00E9483A">
              <w:rPr>
                <w:b/>
                <w:bCs/>
                <w:iCs/>
                <w:sz w:val="24"/>
                <w:szCs w:val="24"/>
              </w:rPr>
              <w:t>简单介绍</w:t>
            </w:r>
            <w:r w:rsidR="004B6DD9" w:rsidRPr="004B6DD9">
              <w:rPr>
                <w:rFonts w:hint="eastAsia"/>
                <w:b/>
                <w:bCs/>
                <w:iCs/>
                <w:sz w:val="24"/>
                <w:szCs w:val="24"/>
              </w:rPr>
              <w:t>第三期员工持股计划的</w:t>
            </w:r>
            <w:r w:rsidR="00E9483A">
              <w:rPr>
                <w:rFonts w:hint="eastAsia"/>
                <w:b/>
                <w:bCs/>
                <w:iCs/>
                <w:sz w:val="24"/>
                <w:szCs w:val="24"/>
              </w:rPr>
              <w:t>情况</w:t>
            </w:r>
            <w:r w:rsidR="004B6DD9" w:rsidRPr="004B6DD9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F4EBE" w:rsidRDefault="00E9483A" w:rsidP="00E54B18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第三期</w:t>
            </w:r>
            <w:r>
              <w:rPr>
                <w:rFonts w:ascii="宋体" w:hAnsi="宋体"/>
                <w:sz w:val="24"/>
                <w:szCs w:val="24"/>
              </w:rPr>
              <w:t>员工持股计划正在筹备阶段，公司</w:t>
            </w:r>
            <w:r>
              <w:rPr>
                <w:rFonts w:ascii="宋体" w:hAnsi="宋体" w:hint="eastAsia"/>
                <w:sz w:val="24"/>
                <w:szCs w:val="24"/>
              </w:rPr>
              <w:t>于</w:t>
            </w:r>
            <w:r w:rsidR="00725DD0">
              <w:rPr>
                <w:rFonts w:ascii="宋体" w:hAnsi="宋体" w:hint="eastAsia"/>
                <w:sz w:val="24"/>
                <w:szCs w:val="24"/>
              </w:rPr>
              <w:t>2017年6月</w:t>
            </w:r>
            <w:bookmarkStart w:id="0" w:name="_GoBack"/>
            <w:bookmarkEnd w:id="0"/>
            <w:r w:rsidR="00725DD0">
              <w:rPr>
                <w:rFonts w:ascii="宋体" w:hAnsi="宋体" w:hint="eastAsia"/>
                <w:sz w:val="24"/>
                <w:szCs w:val="24"/>
              </w:rPr>
              <w:t>9日</w:t>
            </w:r>
            <w:r>
              <w:rPr>
                <w:rFonts w:ascii="宋体" w:hAnsi="宋体" w:hint="eastAsia"/>
                <w:sz w:val="24"/>
                <w:szCs w:val="24"/>
              </w:rPr>
              <w:t>发</w:t>
            </w:r>
            <w:r w:rsidR="00725DD0">
              <w:rPr>
                <w:rFonts w:ascii="宋体" w:hAnsi="宋体" w:hint="eastAsia"/>
                <w:sz w:val="24"/>
                <w:szCs w:val="24"/>
              </w:rPr>
              <w:t>布</w:t>
            </w:r>
            <w:r>
              <w:rPr>
                <w:rFonts w:ascii="宋体" w:hAnsi="宋体" w:hint="eastAsia"/>
                <w:sz w:val="24"/>
                <w:szCs w:val="24"/>
              </w:rPr>
              <w:t>了</w:t>
            </w:r>
            <w:r w:rsidR="00725DD0">
              <w:rPr>
                <w:rFonts w:ascii="宋体" w:hAnsi="宋体" w:hint="eastAsia"/>
                <w:sz w:val="24"/>
                <w:szCs w:val="24"/>
              </w:rPr>
              <w:t>《</w:t>
            </w:r>
            <w:r w:rsidR="00725DD0" w:rsidRPr="00725DD0">
              <w:rPr>
                <w:rFonts w:ascii="宋体" w:hAnsi="宋体" w:hint="eastAsia"/>
                <w:sz w:val="24"/>
                <w:szCs w:val="24"/>
              </w:rPr>
              <w:t>关于筹划第三期员工持股计划的提示性公告</w:t>
            </w:r>
            <w:r w:rsidR="00725DD0">
              <w:rPr>
                <w:rFonts w:ascii="宋体" w:hAnsi="宋体" w:hint="eastAsia"/>
                <w:sz w:val="24"/>
                <w:szCs w:val="24"/>
              </w:rPr>
              <w:t>》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="00984E7F">
              <w:rPr>
                <w:rFonts w:ascii="宋体" w:hAnsi="宋体" w:hint="eastAsia"/>
                <w:sz w:val="24"/>
                <w:szCs w:val="24"/>
              </w:rPr>
              <w:t>公司希望</w:t>
            </w:r>
            <w:r w:rsidR="004B6DD9" w:rsidRPr="0049672A">
              <w:rPr>
                <w:rFonts w:ascii="宋体" w:hAnsi="宋体" w:hint="eastAsia"/>
                <w:sz w:val="24"/>
                <w:szCs w:val="24"/>
              </w:rPr>
              <w:t>与员工</w:t>
            </w:r>
            <w:r w:rsidR="00984E7F">
              <w:rPr>
                <w:rFonts w:ascii="宋体" w:hAnsi="宋体" w:hint="eastAsia"/>
                <w:sz w:val="24"/>
                <w:szCs w:val="24"/>
              </w:rPr>
              <w:t>共同</w:t>
            </w:r>
            <w:r w:rsidR="004B6DD9" w:rsidRPr="0049672A">
              <w:rPr>
                <w:rFonts w:ascii="宋体" w:hAnsi="宋体" w:hint="eastAsia"/>
                <w:sz w:val="24"/>
                <w:szCs w:val="24"/>
              </w:rPr>
              <w:t>分享快速发展的成果，第三期员工持股计划</w:t>
            </w:r>
            <w:r>
              <w:rPr>
                <w:rFonts w:ascii="宋体" w:hAnsi="宋体" w:hint="eastAsia"/>
                <w:sz w:val="24"/>
                <w:szCs w:val="24"/>
              </w:rPr>
              <w:t>的具体</w:t>
            </w:r>
            <w:r>
              <w:rPr>
                <w:rFonts w:ascii="宋体" w:hAnsi="宋体"/>
                <w:sz w:val="24"/>
                <w:szCs w:val="24"/>
              </w:rPr>
              <w:t>情况请及时关注公司后续发布的相关公告。</w:t>
            </w:r>
          </w:p>
          <w:p w:rsidR="00AA62CC" w:rsidRPr="00AA62CC" w:rsidRDefault="00AA62CC" w:rsidP="00AA62CC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4B6DD9" w:rsidRPr="0067431E" w:rsidRDefault="00BF4EBE" w:rsidP="0067431E">
            <w:pPr>
              <w:pStyle w:val="af"/>
              <w:spacing w:before="0" w:beforeAutospacing="0" w:after="0" w:afterAutospacing="0" w:line="480" w:lineRule="atLeast"/>
              <w:rPr>
                <w:rFonts w:ascii="Times New Roman" w:hAnsi="Times New Roman" w:cs="Times New Roman"/>
                <w:b/>
                <w:bCs/>
                <w:iCs/>
                <w:kern w:val="2"/>
              </w:rPr>
            </w:pPr>
            <w:r w:rsidRPr="0067431E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5</w:t>
            </w:r>
            <w:r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．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 </w:t>
            </w:r>
            <w:r w:rsidR="004B6DD9" w:rsidRPr="0067431E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公司是否考虑并购</w:t>
            </w:r>
            <w:r w:rsidR="00984E7F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养殖场</w:t>
            </w:r>
            <w:r w:rsidR="004B6DD9" w:rsidRPr="0067431E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？</w:t>
            </w:r>
          </w:p>
          <w:p w:rsidR="00AA62CC" w:rsidRPr="00AA62CC" w:rsidRDefault="00984E7F" w:rsidP="00AA62CC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目前行业分散，不存在大规模并购的条件。</w:t>
            </w:r>
            <w:r w:rsidR="00AA62CC" w:rsidRPr="00AA62CC">
              <w:rPr>
                <w:rFonts w:hint="eastAsia"/>
                <w:bCs/>
                <w:iCs/>
                <w:sz w:val="24"/>
                <w:szCs w:val="24"/>
              </w:rPr>
              <w:t>参照国外历史经验，现阶段我国生猪养殖盈利水平相对较高，所以资产是较贵的。</w:t>
            </w:r>
            <w:r w:rsidR="00725DD0">
              <w:rPr>
                <w:rFonts w:hint="eastAsia"/>
                <w:bCs/>
                <w:iCs/>
                <w:sz w:val="24"/>
                <w:szCs w:val="24"/>
              </w:rPr>
              <w:t>同时，</w:t>
            </w:r>
            <w:r w:rsidR="00AA62CC" w:rsidRPr="00AA62CC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725DD0">
              <w:rPr>
                <w:rFonts w:hint="eastAsia"/>
                <w:bCs/>
                <w:iCs/>
                <w:sz w:val="24"/>
                <w:szCs w:val="24"/>
              </w:rPr>
              <w:t>集约化</w:t>
            </w:r>
            <w:r w:rsidR="00AA62CC" w:rsidRPr="00AA62CC">
              <w:rPr>
                <w:rFonts w:hint="eastAsia"/>
                <w:bCs/>
                <w:iCs/>
                <w:sz w:val="24"/>
                <w:szCs w:val="24"/>
              </w:rPr>
              <w:t>的养殖模式，单</w:t>
            </w:r>
            <w:r w:rsidR="00AA62CC" w:rsidRPr="00AA62CC">
              <w:rPr>
                <w:rFonts w:hint="eastAsia"/>
                <w:bCs/>
                <w:iCs/>
                <w:sz w:val="24"/>
                <w:szCs w:val="24"/>
              </w:rPr>
              <w:lastRenderedPageBreak/>
              <w:t>场规模都较大，对选址、工艺都有较高的要求，且公司建设周期较短，</w:t>
            </w:r>
            <w:r>
              <w:rPr>
                <w:rFonts w:hint="eastAsia"/>
                <w:bCs/>
                <w:iCs/>
                <w:sz w:val="24"/>
                <w:szCs w:val="24"/>
              </w:rPr>
              <w:t>暂时</w:t>
            </w:r>
            <w:r w:rsidR="00E9483A">
              <w:rPr>
                <w:rFonts w:hint="eastAsia"/>
                <w:bCs/>
                <w:iCs/>
                <w:sz w:val="24"/>
                <w:szCs w:val="24"/>
              </w:rPr>
              <w:t>没有并购</w:t>
            </w:r>
            <w:r w:rsidR="00E9483A">
              <w:rPr>
                <w:bCs/>
                <w:iCs/>
                <w:sz w:val="24"/>
                <w:szCs w:val="24"/>
              </w:rPr>
              <w:t>计划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5E1396" w:rsidRPr="00AA62CC" w:rsidRDefault="005E1396" w:rsidP="00AA62CC"/>
        </w:tc>
      </w:tr>
      <w:tr w:rsidR="00DC6739">
        <w:tc>
          <w:tcPr>
            <w:tcW w:w="2943" w:type="dxa"/>
            <w:vAlign w:val="center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:rsidR="00DC6739" w:rsidRDefault="00DC673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DC6739">
        <w:tc>
          <w:tcPr>
            <w:tcW w:w="2943" w:type="dxa"/>
            <w:vAlign w:val="center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3A3004"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3A3004">
              <w:rPr>
                <w:rFonts w:hint="eastAsia"/>
                <w:bCs/>
                <w:iCs/>
                <w:sz w:val="24"/>
                <w:szCs w:val="24"/>
              </w:rPr>
              <w:t>14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DC6739" w:rsidRDefault="00DC6739"/>
    <w:sectPr w:rsidR="00DC6739" w:rsidSect="00BC3B14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CA" w:rsidRDefault="001D57CA">
      <w:r>
        <w:separator/>
      </w:r>
    </w:p>
  </w:endnote>
  <w:endnote w:type="continuationSeparator" w:id="0">
    <w:p w:rsidR="001D57CA" w:rsidRDefault="001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CA" w:rsidRDefault="001D57CA">
      <w:r>
        <w:separator/>
      </w:r>
    </w:p>
  </w:footnote>
  <w:footnote w:type="continuationSeparator" w:id="0">
    <w:p w:rsidR="001D57CA" w:rsidRDefault="001D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39" w:rsidRDefault="00DC6739" w:rsidP="000D37A1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631"/>
    <w:multiLevelType w:val="multilevel"/>
    <w:tmpl w:val="7FC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E6E2A"/>
    <w:multiLevelType w:val="hybridMultilevel"/>
    <w:tmpl w:val="CF0A68C0"/>
    <w:lvl w:ilvl="0" w:tplc="2EF866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234464"/>
    <w:multiLevelType w:val="hybridMultilevel"/>
    <w:tmpl w:val="1A904AE0"/>
    <w:lvl w:ilvl="0" w:tplc="804EB744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EB73F3"/>
    <w:multiLevelType w:val="hybridMultilevel"/>
    <w:tmpl w:val="26A85A8A"/>
    <w:lvl w:ilvl="0" w:tplc="E6168B1C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573A3"/>
    <w:multiLevelType w:val="hybridMultilevel"/>
    <w:tmpl w:val="CA687C5E"/>
    <w:lvl w:ilvl="0" w:tplc="684E12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E17072"/>
    <w:multiLevelType w:val="multilevel"/>
    <w:tmpl w:val="1FA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EC"/>
    <w:rsid w:val="00033068"/>
    <w:rsid w:val="00034320"/>
    <w:rsid w:val="00043006"/>
    <w:rsid w:val="0005021B"/>
    <w:rsid w:val="000A1459"/>
    <w:rsid w:val="000A1EFA"/>
    <w:rsid w:val="000A5F67"/>
    <w:rsid w:val="000B4C95"/>
    <w:rsid w:val="000D37A1"/>
    <w:rsid w:val="000F7CC5"/>
    <w:rsid w:val="001109AF"/>
    <w:rsid w:val="001161D3"/>
    <w:rsid w:val="001241C9"/>
    <w:rsid w:val="00136158"/>
    <w:rsid w:val="001364E4"/>
    <w:rsid w:val="00150C84"/>
    <w:rsid w:val="0015463D"/>
    <w:rsid w:val="00172A27"/>
    <w:rsid w:val="001850DF"/>
    <w:rsid w:val="001A420D"/>
    <w:rsid w:val="001C029F"/>
    <w:rsid w:val="001D57CA"/>
    <w:rsid w:val="001E2099"/>
    <w:rsid w:val="001F5A26"/>
    <w:rsid w:val="002049D9"/>
    <w:rsid w:val="00221633"/>
    <w:rsid w:val="00231362"/>
    <w:rsid w:val="00233BB1"/>
    <w:rsid w:val="00255686"/>
    <w:rsid w:val="00266819"/>
    <w:rsid w:val="002B4405"/>
    <w:rsid w:val="002C427A"/>
    <w:rsid w:val="002D6DD8"/>
    <w:rsid w:val="0031222D"/>
    <w:rsid w:val="00331839"/>
    <w:rsid w:val="003346B6"/>
    <w:rsid w:val="00350EDB"/>
    <w:rsid w:val="0035150E"/>
    <w:rsid w:val="003560D9"/>
    <w:rsid w:val="00367FAA"/>
    <w:rsid w:val="00377CE9"/>
    <w:rsid w:val="00381347"/>
    <w:rsid w:val="003A3004"/>
    <w:rsid w:val="003D5F9E"/>
    <w:rsid w:val="003E2E24"/>
    <w:rsid w:val="003F556D"/>
    <w:rsid w:val="00417005"/>
    <w:rsid w:val="00425C6A"/>
    <w:rsid w:val="00426FC3"/>
    <w:rsid w:val="004465C5"/>
    <w:rsid w:val="004741DD"/>
    <w:rsid w:val="00477613"/>
    <w:rsid w:val="00480E1C"/>
    <w:rsid w:val="00482D78"/>
    <w:rsid w:val="00483322"/>
    <w:rsid w:val="00493AB8"/>
    <w:rsid w:val="0049672A"/>
    <w:rsid w:val="004B167B"/>
    <w:rsid w:val="004B6DD9"/>
    <w:rsid w:val="004F7BE5"/>
    <w:rsid w:val="00515D22"/>
    <w:rsid w:val="00517B20"/>
    <w:rsid w:val="0055369F"/>
    <w:rsid w:val="005A0F1B"/>
    <w:rsid w:val="005B4B41"/>
    <w:rsid w:val="005B56FC"/>
    <w:rsid w:val="005C3028"/>
    <w:rsid w:val="005D6FA6"/>
    <w:rsid w:val="005E1396"/>
    <w:rsid w:val="005E3D5B"/>
    <w:rsid w:val="00600FF5"/>
    <w:rsid w:val="006053C4"/>
    <w:rsid w:val="00650BB8"/>
    <w:rsid w:val="0067431E"/>
    <w:rsid w:val="00685C92"/>
    <w:rsid w:val="006C3D1D"/>
    <w:rsid w:val="006C7C5F"/>
    <w:rsid w:val="006D5329"/>
    <w:rsid w:val="007066C1"/>
    <w:rsid w:val="007239F6"/>
    <w:rsid w:val="00725DD0"/>
    <w:rsid w:val="00755EDB"/>
    <w:rsid w:val="007575F6"/>
    <w:rsid w:val="00783653"/>
    <w:rsid w:val="007A0441"/>
    <w:rsid w:val="007D02AA"/>
    <w:rsid w:val="007D2CE7"/>
    <w:rsid w:val="00801D92"/>
    <w:rsid w:val="0082537D"/>
    <w:rsid w:val="00830302"/>
    <w:rsid w:val="00833A3C"/>
    <w:rsid w:val="00844C89"/>
    <w:rsid w:val="00845F88"/>
    <w:rsid w:val="008567F3"/>
    <w:rsid w:val="00861D89"/>
    <w:rsid w:val="00876EF5"/>
    <w:rsid w:val="008904F3"/>
    <w:rsid w:val="008B356C"/>
    <w:rsid w:val="008E6C20"/>
    <w:rsid w:val="00901F76"/>
    <w:rsid w:val="00917F96"/>
    <w:rsid w:val="00940495"/>
    <w:rsid w:val="009559C7"/>
    <w:rsid w:val="00982EE3"/>
    <w:rsid w:val="00984E7F"/>
    <w:rsid w:val="00985036"/>
    <w:rsid w:val="00992C8D"/>
    <w:rsid w:val="009964FF"/>
    <w:rsid w:val="009A22B9"/>
    <w:rsid w:val="009B0253"/>
    <w:rsid w:val="009B3519"/>
    <w:rsid w:val="009C584E"/>
    <w:rsid w:val="00A028B8"/>
    <w:rsid w:val="00A03466"/>
    <w:rsid w:val="00A3162E"/>
    <w:rsid w:val="00A61D74"/>
    <w:rsid w:val="00A733FA"/>
    <w:rsid w:val="00A82A69"/>
    <w:rsid w:val="00AA346F"/>
    <w:rsid w:val="00AA62CC"/>
    <w:rsid w:val="00AC6EED"/>
    <w:rsid w:val="00AD6DD7"/>
    <w:rsid w:val="00B10041"/>
    <w:rsid w:val="00B15C03"/>
    <w:rsid w:val="00B325B2"/>
    <w:rsid w:val="00B3318B"/>
    <w:rsid w:val="00B35677"/>
    <w:rsid w:val="00B81469"/>
    <w:rsid w:val="00B93240"/>
    <w:rsid w:val="00B97888"/>
    <w:rsid w:val="00BA0959"/>
    <w:rsid w:val="00BB1A97"/>
    <w:rsid w:val="00BC3B14"/>
    <w:rsid w:val="00BC76EF"/>
    <w:rsid w:val="00BD7BFD"/>
    <w:rsid w:val="00BD7CAF"/>
    <w:rsid w:val="00BE0DBE"/>
    <w:rsid w:val="00BF1A00"/>
    <w:rsid w:val="00BF4EBE"/>
    <w:rsid w:val="00BF7CFB"/>
    <w:rsid w:val="00C10DB6"/>
    <w:rsid w:val="00C15763"/>
    <w:rsid w:val="00C16F1A"/>
    <w:rsid w:val="00C30155"/>
    <w:rsid w:val="00C320C7"/>
    <w:rsid w:val="00C37F77"/>
    <w:rsid w:val="00C513CC"/>
    <w:rsid w:val="00C54DBC"/>
    <w:rsid w:val="00C63327"/>
    <w:rsid w:val="00C6719D"/>
    <w:rsid w:val="00C83D63"/>
    <w:rsid w:val="00C83DF1"/>
    <w:rsid w:val="00C91F3E"/>
    <w:rsid w:val="00CA1EAB"/>
    <w:rsid w:val="00CB1138"/>
    <w:rsid w:val="00CB4FE3"/>
    <w:rsid w:val="00CE49BD"/>
    <w:rsid w:val="00D05DBA"/>
    <w:rsid w:val="00D47B5E"/>
    <w:rsid w:val="00D605BD"/>
    <w:rsid w:val="00D6237D"/>
    <w:rsid w:val="00D96478"/>
    <w:rsid w:val="00DC4C7E"/>
    <w:rsid w:val="00DC6739"/>
    <w:rsid w:val="00DD4EFC"/>
    <w:rsid w:val="00DF2171"/>
    <w:rsid w:val="00DF228E"/>
    <w:rsid w:val="00E0357D"/>
    <w:rsid w:val="00E16715"/>
    <w:rsid w:val="00E434B4"/>
    <w:rsid w:val="00E54B18"/>
    <w:rsid w:val="00E73231"/>
    <w:rsid w:val="00E773AC"/>
    <w:rsid w:val="00E83656"/>
    <w:rsid w:val="00E87F69"/>
    <w:rsid w:val="00E943BA"/>
    <w:rsid w:val="00E9483A"/>
    <w:rsid w:val="00E96858"/>
    <w:rsid w:val="00EB5052"/>
    <w:rsid w:val="00ED0E94"/>
    <w:rsid w:val="00F16C2A"/>
    <w:rsid w:val="00F17069"/>
    <w:rsid w:val="00F22D10"/>
    <w:rsid w:val="00F50B30"/>
    <w:rsid w:val="00F51A60"/>
    <w:rsid w:val="00F70A2E"/>
    <w:rsid w:val="00F862B2"/>
    <w:rsid w:val="00F942C3"/>
    <w:rsid w:val="00FB02C6"/>
    <w:rsid w:val="00FC3DF7"/>
    <w:rsid w:val="00FE502E"/>
    <w:rsid w:val="018C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D07BA"/>
  <w15:docId w15:val="{0BD93ADB-FA31-48F2-BF6D-6A0932D1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BC3B14"/>
    <w:rPr>
      <w:b/>
      <w:bCs/>
    </w:rPr>
  </w:style>
  <w:style w:type="paragraph" w:styleId="a4">
    <w:name w:val="annotation text"/>
    <w:basedOn w:val="a"/>
    <w:link w:val="a6"/>
    <w:rsid w:val="00BC3B14"/>
    <w:pPr>
      <w:jc w:val="left"/>
    </w:pPr>
  </w:style>
  <w:style w:type="paragraph" w:styleId="a7">
    <w:name w:val="Balloon Text"/>
    <w:basedOn w:val="a"/>
    <w:link w:val="a8"/>
    <w:rsid w:val="00BC3B14"/>
    <w:rPr>
      <w:sz w:val="18"/>
      <w:szCs w:val="18"/>
    </w:rPr>
  </w:style>
  <w:style w:type="paragraph" w:styleId="a9">
    <w:name w:val="footer"/>
    <w:basedOn w:val="a"/>
    <w:rsid w:val="00BC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BC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b">
    <w:name w:val="page number"/>
    <w:basedOn w:val="a0"/>
    <w:rsid w:val="00BC3B14"/>
  </w:style>
  <w:style w:type="character" w:styleId="ac">
    <w:name w:val="annotation reference"/>
    <w:rsid w:val="00BC3B14"/>
    <w:rPr>
      <w:sz w:val="21"/>
      <w:szCs w:val="21"/>
    </w:rPr>
  </w:style>
  <w:style w:type="paragraph" w:customStyle="1" w:styleId="ad">
    <w:basedOn w:val="a"/>
    <w:qFormat/>
    <w:rsid w:val="00BC3B14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BC3B14"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5">
    <w:name w:val="批注主题 字符"/>
    <w:link w:val="a3"/>
    <w:rsid w:val="00BC3B14"/>
    <w:rPr>
      <w:b/>
      <w:bCs/>
      <w:kern w:val="2"/>
      <w:sz w:val="21"/>
    </w:rPr>
  </w:style>
  <w:style w:type="character" w:customStyle="1" w:styleId="a6">
    <w:name w:val="批注文字 字符"/>
    <w:link w:val="a4"/>
    <w:rsid w:val="00BC3B14"/>
    <w:rPr>
      <w:kern w:val="2"/>
      <w:sz w:val="21"/>
    </w:rPr>
  </w:style>
  <w:style w:type="character" w:customStyle="1" w:styleId="a8">
    <w:name w:val="批注框文本 字符"/>
    <w:link w:val="a7"/>
    <w:rsid w:val="00BC3B14"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8E6C20"/>
    <w:pPr>
      <w:ind w:firstLineChars="200" w:firstLine="420"/>
    </w:pPr>
  </w:style>
  <w:style w:type="paragraph" w:styleId="af">
    <w:name w:val="Normal (Web)"/>
    <w:basedOn w:val="a"/>
    <w:uiPriority w:val="99"/>
    <w:semiHidden/>
    <w:unhideWhenUsed/>
    <w:rsid w:val="00034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1120</Characters>
  <Application>Microsoft Office Word</Application>
  <DocSecurity>0</DocSecurity>
  <Lines>9</Lines>
  <Paragraphs>2</Paragraphs>
  <ScaleCrop>false</ScaleCrop>
  <Company>微软中国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cy</cp:lastModifiedBy>
  <cp:revision>6</cp:revision>
  <dcterms:created xsi:type="dcterms:W3CDTF">2017-06-16T10:09:00Z</dcterms:created>
  <dcterms:modified xsi:type="dcterms:W3CDTF">2017-06-16T10:39:00Z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