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beforeLines="50" w:afterLines="50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>
            <w:pPr>
              <w:spacing w:beforeLines="50" w:afterLines="50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证券简称：牧原股份</w:t>
            </w:r>
          </w:p>
        </w:tc>
      </w:tr>
    </w:tbl>
    <w:p>
      <w:pPr>
        <w:spacing w:beforeLines="50" w:afterLines="50" w:line="400" w:lineRule="exact"/>
        <w:rPr>
          <w:bCs/>
          <w:iCs/>
          <w:sz w:val="24"/>
        </w:rPr>
      </w:pPr>
    </w:p>
    <w:p>
      <w:pPr>
        <w:spacing w:beforeLines="50" w:afterLines="50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牧原食品股份有限公司</w:t>
      </w:r>
      <w:bookmarkStart w:id="0" w:name="_GoBack"/>
      <w:bookmarkEnd w:id="0"/>
    </w:p>
    <w:p>
      <w:pPr>
        <w:spacing w:beforeLines="50" w:afterLines="50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rFonts w:hint="eastAsia"/>
          <w:bCs/>
          <w:iCs/>
          <w:sz w:val="24"/>
          <w:szCs w:val="24"/>
        </w:rPr>
        <w:t>2017-09</w:t>
      </w:r>
    </w:p>
    <w:tbl>
      <w:tblPr>
        <w:tblStyle w:val="11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r>
              <w:rPr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招商证券周莎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平安证券王海亮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国泰君安赵瑞</w:t>
            </w:r>
            <w:r>
              <w:rPr>
                <w:rFonts w:hint="eastAsia"/>
                <w:bCs/>
                <w:iCs/>
                <w:sz w:val="24"/>
                <w:szCs w:val="24"/>
              </w:rPr>
              <w:tab/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平安资管吕泽楠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东方资管周云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上投摩根基金李核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涌峰投资龙飞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万吨资产张炜舜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东吴人寿徐玲玲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相聚资本张翔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银石投资潘俊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天岸马投资李炯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富道投资王小军</w:t>
            </w:r>
            <w:r>
              <w:rPr>
                <w:rFonts w:hint="eastAsia"/>
                <w:bCs/>
                <w:i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</w:p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证券事务代表曹芳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758" w:type="dxa"/>
            <w:gridSpan w:val="2"/>
          </w:tcPr>
          <w:p>
            <w:pPr>
              <w:pStyle w:val="17"/>
              <w:spacing w:line="480" w:lineRule="atLeast"/>
              <w:ind w:left="360" w:firstLine="3132" w:firstLineChars="130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会谈内容</w:t>
            </w:r>
          </w:p>
          <w:p>
            <w:pPr>
              <w:pStyle w:val="17"/>
              <w:numPr>
                <w:ilvl w:val="0"/>
                <w:numId w:val="1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公司成本控制水平领先，主要是什么原因？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公司的成本控制能力主要体现在以下几个方面：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原粮采购和饲料生产成本低。子公司布局在粮食主产区，原则上就近收购原粮，运输成本较低；营养团队研发出精细化的配方，在保证营养需求的基础上减少营养浪费；公司在每个子公司设置自有的饲料厂，散装运输且运输半径相对较小，节省了部分成本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）技术经验丰富。公司经过25年的发展，在生猪育种、营养配方、疾病防控等方面积累了丰富的技术经验，这些技术积累最终体现在生产指标和利润指标上，降低了部分成本。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（3）劳动效率高。公司自行研制的自动化饲喂系统，水电、温度等自动化控制系统，大大提高了生产效率，在育肥阶段每个饲养员可以同时饲养</w:t>
            </w:r>
            <w:r>
              <w:rPr>
                <w:bCs/>
                <w:iCs/>
                <w:sz w:val="24"/>
                <w:szCs w:val="24"/>
              </w:rPr>
              <w:t>2,700-3,600</w:t>
            </w:r>
            <w:r>
              <w:rPr>
                <w:rFonts w:hint="eastAsia"/>
                <w:bCs/>
                <w:iCs/>
                <w:sz w:val="24"/>
                <w:szCs w:val="24"/>
              </w:rPr>
              <w:t>头育肥猪，劳动效率处于行业领先水平。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sz w:val="24"/>
                <w:szCs w:val="24"/>
              </w:rPr>
              <w:t>）现场管理严格。生猪养殖是对现场管理要求较高的行业，公司在不断提高产仔率、降低料肉比等生产指标的基础上，饲养员严格按照作业标准，控制水电的消耗，公司制定严格的考核标准，降低了部分成本。</w:t>
            </w:r>
          </w:p>
          <w:p>
            <w:pPr>
              <w:spacing w:line="480" w:lineRule="atLeas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/>
                <w:bCs/>
                <w:iCs/>
                <w:kern w:val="2"/>
              </w:rPr>
              <w:t>从成长性的角度来看，公司的固定资产投资计划是怎样的？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目前，中国生猪养殖业的行业集中度比较低，未来还有很大的发展空间。从养殖结构来看，中小养殖规模仍然占较大比重，且近两年来由于环保和风险认知的因素，中小养殖场存在限制建设和被拆迁的情况。从历史发展经验来看，规模化养殖是行业发展趋势，整个行业的更新升级需要以千亿为单位的固定资产投资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2016年公司的资本支出在40亿元左右。由于行业集中度低，从长期来看，公司的投资计划会逐步增加。同时也会根据市场行情，结合公司的需求，动态的调整投融资进度，在不断优化公司财务结构的基础上，使公司保持稳健的发展状态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</w:p>
          <w:p>
            <w:pPr>
              <w:pStyle w:val="17"/>
              <w:numPr>
                <w:ilvl w:val="0"/>
                <w:numId w:val="2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异地快速扩张的时候，子公司和员工的管理是否会有难度？</w:t>
            </w:r>
          </w:p>
          <w:p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公司目前在全国12个粮食主产省布局了67个子公司（包括一个粮食贸易公司正在注册），</w:t>
            </w:r>
            <w:r>
              <w:rPr>
                <w:rFonts w:hint="eastAsia" w:cs="Calibri"/>
                <w:sz w:val="24"/>
                <w:szCs w:val="24"/>
              </w:rPr>
              <w:t>近</w:t>
            </w:r>
            <w:r>
              <w:rPr>
                <w:rFonts w:hint="eastAsia"/>
                <w:bCs/>
                <w:iCs/>
                <w:sz w:val="24"/>
                <w:szCs w:val="24"/>
              </w:rPr>
              <w:t>年来公司快速的发展速度和严格的质量要求，对人才和管理提出了更高的要求。公司在重视育种、生产、防疫等技术研发的同时，对经营管理也制订了更高的标准。</w:t>
            </w:r>
          </w:p>
          <w:p>
            <w:pPr>
              <w:pStyle w:val="7"/>
              <w:spacing w:before="0" w:beforeAutospacing="0" w:after="0" w:afterAutospacing="0" w:line="480" w:lineRule="atLeast"/>
              <w:ind w:firstLine="480" w:firstLineChars="20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（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1</w:t>
            </w: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）重视信息化建设。公司从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2013</w:t>
            </w: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年开始上线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ERP</w:t>
            </w: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系统，运用信息化进行管理。在养猪环节，公司开发了生产管理系统，对养殖过程进行详细的追踪和记录，保障食品安全，同时作为饲养员绩效考核的基础。公司还开发了工程管理系统、财务管理系统、人力资源系统、电子采购系统等，信息化保证了众多子公司的规范化、标准化管理。</w:t>
            </w:r>
          </w:p>
          <w:p>
            <w:pPr>
              <w:pStyle w:val="7"/>
              <w:spacing w:before="0" w:beforeAutospacing="0" w:after="0" w:afterAutospacing="0" w:line="480" w:lineRule="atLeast"/>
              <w:ind w:firstLine="480" w:firstLineChars="20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（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2</w:t>
            </w: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）推进标准化管理。公司早些年已在内乡完成了标准化模型的建立，在环保、食品安全和劳动效率等方面保持着优势，这也是近两年来快速发展的前提和保障。目前各子公司都在复制母公司的养殖模式，实现标准化管理。</w:t>
            </w:r>
          </w:p>
          <w:p>
            <w:pPr>
              <w:pStyle w:val="7"/>
              <w:spacing w:before="0" w:beforeAutospacing="0" w:after="0" w:afterAutospacing="0" w:line="480" w:lineRule="atLeast"/>
              <w:ind w:firstLine="480" w:firstLineChars="20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（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3</w:t>
            </w: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）注重人才的培养。立足于公司的长远发展，着力人才培训体系建设和员工业务技能提升的基础上，积极引进外部资源，和国际知名的管理咨询机构和专家保持常态化的交流，使公司的员工视野更加开拓；并且公司已经成功实施两期员工持股计划，人数达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700</w:t>
            </w: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余人，目前正在筹划第三期员工持股计划，加之以师徒文化、母子工程等良好的企业文化，有助于提高员工的凝聚力和公司竞争力，能够有效调动员工的积极性和创造性，从而促进公司长期、持续、健康发展。</w:t>
            </w:r>
          </w:p>
          <w:p>
            <w:pPr>
              <w:spacing w:line="480" w:lineRule="atLeas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before="0" w:beforeAutospacing="0" w:after="0" w:afterAutospacing="0" w:line="480" w:lineRule="atLeast"/>
              <w:rPr>
                <w:rFonts w:ascii="Times New Roman" w:hAnsi="Times New Roman" w:cs="Times New Roman"/>
                <w:b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/>
                <w:bCs/>
                <w:iCs/>
                <w:kern w:val="2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iCs/>
                <w:kern w:val="2"/>
              </w:rPr>
              <w:t>．猪价低迷期公司会怎样应对？</w:t>
            </w:r>
          </w:p>
          <w:p>
            <w:pPr>
              <w:pStyle w:val="7"/>
              <w:spacing w:before="0" w:beforeAutospacing="0" w:after="0" w:afterAutospacing="0" w:line="480" w:lineRule="atLeast"/>
              <w:ind w:firstLine="480" w:firstLineChars="20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由于中国巨大的生猪养殖基数和养殖结构的现状，在未来的几年，“猪周期”仍然会存在。整个行业都会面临着周期性的价格波动。</w:t>
            </w:r>
          </w:p>
          <w:p>
            <w:pPr>
              <w:pStyle w:val="7"/>
              <w:spacing w:before="0" w:beforeAutospacing="0" w:after="0" w:afterAutospacing="0" w:line="480" w:lineRule="atLeast"/>
              <w:ind w:firstLine="480" w:firstLineChars="20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hint="eastAsia" w:ascii="Times New Roman" w:hAnsi="Times New Roman" w:cs="Times New Roman"/>
                <w:bCs/>
                <w:iCs/>
                <w:kern w:val="2"/>
              </w:rPr>
              <w:t>公司会继续提升管理，提高生产指标和生产效率，优化成本控制，提升公司盈利能力。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2017年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E2A"/>
    <w:multiLevelType w:val="multilevel"/>
    <w:tmpl w:val="35CE6E2A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234464"/>
    <w:multiLevelType w:val="multilevel"/>
    <w:tmpl w:val="47234464"/>
    <w:lvl w:ilvl="0" w:tentative="0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EC"/>
    <w:rsid w:val="00033068"/>
    <w:rsid w:val="00034320"/>
    <w:rsid w:val="00043006"/>
    <w:rsid w:val="000A1459"/>
    <w:rsid w:val="000A1EFA"/>
    <w:rsid w:val="000A5F67"/>
    <w:rsid w:val="000B4C95"/>
    <w:rsid w:val="000D37A1"/>
    <w:rsid w:val="000F7CC5"/>
    <w:rsid w:val="001109AF"/>
    <w:rsid w:val="001161D3"/>
    <w:rsid w:val="001241C9"/>
    <w:rsid w:val="00136158"/>
    <w:rsid w:val="001364E4"/>
    <w:rsid w:val="001407CC"/>
    <w:rsid w:val="00150C84"/>
    <w:rsid w:val="0015463D"/>
    <w:rsid w:val="00172A27"/>
    <w:rsid w:val="001850DF"/>
    <w:rsid w:val="001A420D"/>
    <w:rsid w:val="001B0AB4"/>
    <w:rsid w:val="001C029F"/>
    <w:rsid w:val="001E2099"/>
    <w:rsid w:val="001F5A26"/>
    <w:rsid w:val="002049D9"/>
    <w:rsid w:val="00221633"/>
    <w:rsid w:val="00231362"/>
    <w:rsid w:val="00233BB1"/>
    <w:rsid w:val="0024236E"/>
    <w:rsid w:val="00255686"/>
    <w:rsid w:val="00255FA9"/>
    <w:rsid w:val="00266819"/>
    <w:rsid w:val="00272398"/>
    <w:rsid w:val="002879CB"/>
    <w:rsid w:val="002B4405"/>
    <w:rsid w:val="002C427A"/>
    <w:rsid w:val="002D6DD8"/>
    <w:rsid w:val="00331839"/>
    <w:rsid w:val="003346B6"/>
    <w:rsid w:val="00350EDB"/>
    <w:rsid w:val="0035150E"/>
    <w:rsid w:val="003523B1"/>
    <w:rsid w:val="003560D9"/>
    <w:rsid w:val="00367FAA"/>
    <w:rsid w:val="00377CE9"/>
    <w:rsid w:val="00381347"/>
    <w:rsid w:val="0038328A"/>
    <w:rsid w:val="00390408"/>
    <w:rsid w:val="003A3004"/>
    <w:rsid w:val="003D5F9E"/>
    <w:rsid w:val="003E2E24"/>
    <w:rsid w:val="003F556D"/>
    <w:rsid w:val="00425C6A"/>
    <w:rsid w:val="00426FC3"/>
    <w:rsid w:val="004465C5"/>
    <w:rsid w:val="004741DD"/>
    <w:rsid w:val="00477613"/>
    <w:rsid w:val="004803E7"/>
    <w:rsid w:val="00480E1C"/>
    <w:rsid w:val="00482D78"/>
    <w:rsid w:val="00483322"/>
    <w:rsid w:val="00493AB8"/>
    <w:rsid w:val="0049672A"/>
    <w:rsid w:val="004B167B"/>
    <w:rsid w:val="004B6DD9"/>
    <w:rsid w:val="004B7723"/>
    <w:rsid w:val="004F7BE5"/>
    <w:rsid w:val="00515D22"/>
    <w:rsid w:val="00517B20"/>
    <w:rsid w:val="0055369F"/>
    <w:rsid w:val="005A0F1B"/>
    <w:rsid w:val="005A4390"/>
    <w:rsid w:val="005B2C37"/>
    <w:rsid w:val="005B4B41"/>
    <w:rsid w:val="005B56FC"/>
    <w:rsid w:val="005C3028"/>
    <w:rsid w:val="005D6FA6"/>
    <w:rsid w:val="005E1396"/>
    <w:rsid w:val="005E1A38"/>
    <w:rsid w:val="005E3D5B"/>
    <w:rsid w:val="00600FF5"/>
    <w:rsid w:val="006053C4"/>
    <w:rsid w:val="00650BB8"/>
    <w:rsid w:val="0067431E"/>
    <w:rsid w:val="00685C92"/>
    <w:rsid w:val="006C3D1D"/>
    <w:rsid w:val="006C7C5F"/>
    <w:rsid w:val="006D0255"/>
    <w:rsid w:val="006D5329"/>
    <w:rsid w:val="006F397F"/>
    <w:rsid w:val="007066C1"/>
    <w:rsid w:val="00755EDB"/>
    <w:rsid w:val="007575F6"/>
    <w:rsid w:val="0076092E"/>
    <w:rsid w:val="00783653"/>
    <w:rsid w:val="00787CFE"/>
    <w:rsid w:val="007A0441"/>
    <w:rsid w:val="007A6845"/>
    <w:rsid w:val="007D02AA"/>
    <w:rsid w:val="007D2CE7"/>
    <w:rsid w:val="00801D92"/>
    <w:rsid w:val="0082537D"/>
    <w:rsid w:val="00830302"/>
    <w:rsid w:val="00833A3C"/>
    <w:rsid w:val="00844C89"/>
    <w:rsid w:val="00845F88"/>
    <w:rsid w:val="008567F3"/>
    <w:rsid w:val="00861D89"/>
    <w:rsid w:val="00876EF5"/>
    <w:rsid w:val="008904F3"/>
    <w:rsid w:val="008B356C"/>
    <w:rsid w:val="008E6C20"/>
    <w:rsid w:val="00901F76"/>
    <w:rsid w:val="00917F96"/>
    <w:rsid w:val="00940495"/>
    <w:rsid w:val="009559C7"/>
    <w:rsid w:val="00982EE3"/>
    <w:rsid w:val="00984E7F"/>
    <w:rsid w:val="00985036"/>
    <w:rsid w:val="00992C8D"/>
    <w:rsid w:val="009964FF"/>
    <w:rsid w:val="009A22B9"/>
    <w:rsid w:val="009B0253"/>
    <w:rsid w:val="009B3519"/>
    <w:rsid w:val="009C584E"/>
    <w:rsid w:val="009C74E9"/>
    <w:rsid w:val="00A028B8"/>
    <w:rsid w:val="00A03466"/>
    <w:rsid w:val="00A127FD"/>
    <w:rsid w:val="00A3162E"/>
    <w:rsid w:val="00A46C69"/>
    <w:rsid w:val="00A61D74"/>
    <w:rsid w:val="00A733FA"/>
    <w:rsid w:val="00A82A69"/>
    <w:rsid w:val="00AA346F"/>
    <w:rsid w:val="00AA62CC"/>
    <w:rsid w:val="00AC6EED"/>
    <w:rsid w:val="00AD6DD7"/>
    <w:rsid w:val="00B10041"/>
    <w:rsid w:val="00B15C03"/>
    <w:rsid w:val="00B325B2"/>
    <w:rsid w:val="00B3318B"/>
    <w:rsid w:val="00B81469"/>
    <w:rsid w:val="00B93240"/>
    <w:rsid w:val="00B97888"/>
    <w:rsid w:val="00BA0959"/>
    <w:rsid w:val="00BA3FE5"/>
    <w:rsid w:val="00BA7A88"/>
    <w:rsid w:val="00BB1A97"/>
    <w:rsid w:val="00BC3B14"/>
    <w:rsid w:val="00BC76EF"/>
    <w:rsid w:val="00BD7BFD"/>
    <w:rsid w:val="00BD7CAF"/>
    <w:rsid w:val="00BF1A00"/>
    <w:rsid w:val="00BF4EBE"/>
    <w:rsid w:val="00BF7CFB"/>
    <w:rsid w:val="00C04404"/>
    <w:rsid w:val="00C0725B"/>
    <w:rsid w:val="00C10DB6"/>
    <w:rsid w:val="00C15763"/>
    <w:rsid w:val="00C16F1A"/>
    <w:rsid w:val="00C23239"/>
    <w:rsid w:val="00C30155"/>
    <w:rsid w:val="00C320C7"/>
    <w:rsid w:val="00C37F77"/>
    <w:rsid w:val="00C513CC"/>
    <w:rsid w:val="00C54DBC"/>
    <w:rsid w:val="00C63327"/>
    <w:rsid w:val="00C65F4F"/>
    <w:rsid w:val="00C6719D"/>
    <w:rsid w:val="00C83D63"/>
    <w:rsid w:val="00C83DF1"/>
    <w:rsid w:val="00C86795"/>
    <w:rsid w:val="00C91F3E"/>
    <w:rsid w:val="00CA1EAB"/>
    <w:rsid w:val="00CB1138"/>
    <w:rsid w:val="00CB4FE3"/>
    <w:rsid w:val="00CE49BD"/>
    <w:rsid w:val="00D05DBA"/>
    <w:rsid w:val="00D2334E"/>
    <w:rsid w:val="00D46E1E"/>
    <w:rsid w:val="00D47B5E"/>
    <w:rsid w:val="00D605BD"/>
    <w:rsid w:val="00D6237D"/>
    <w:rsid w:val="00D847FC"/>
    <w:rsid w:val="00D96478"/>
    <w:rsid w:val="00DC6739"/>
    <w:rsid w:val="00DD4EFC"/>
    <w:rsid w:val="00DF2171"/>
    <w:rsid w:val="00DF228E"/>
    <w:rsid w:val="00E0357D"/>
    <w:rsid w:val="00E06420"/>
    <w:rsid w:val="00E16715"/>
    <w:rsid w:val="00E434B4"/>
    <w:rsid w:val="00E5115B"/>
    <w:rsid w:val="00E73231"/>
    <w:rsid w:val="00E773AC"/>
    <w:rsid w:val="00E83656"/>
    <w:rsid w:val="00E87F69"/>
    <w:rsid w:val="00E943BA"/>
    <w:rsid w:val="00E96858"/>
    <w:rsid w:val="00EB5052"/>
    <w:rsid w:val="00ED0E94"/>
    <w:rsid w:val="00F16C2A"/>
    <w:rsid w:val="00F17069"/>
    <w:rsid w:val="00F22D10"/>
    <w:rsid w:val="00F334A0"/>
    <w:rsid w:val="00F41BA8"/>
    <w:rsid w:val="00F50B30"/>
    <w:rsid w:val="00F51A60"/>
    <w:rsid w:val="00F70A2E"/>
    <w:rsid w:val="00F862B2"/>
    <w:rsid w:val="00F942C3"/>
    <w:rsid w:val="00FC3DF7"/>
    <w:rsid w:val="00FE502E"/>
    <w:rsid w:val="018C22E1"/>
    <w:rsid w:val="14EC5E93"/>
    <w:rsid w:val="21BF74EF"/>
    <w:rsid w:val="27336568"/>
    <w:rsid w:val="28D266C7"/>
    <w:rsid w:val="6329744A"/>
    <w:rsid w:val="6A527027"/>
    <w:rsid w:val="71373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iPriority w:val="0"/>
    <w:rPr>
      <w:b/>
      <w:bCs/>
    </w:r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uiPriority w:val="0"/>
    <w:rPr>
      <w:sz w:val="21"/>
      <w:szCs w:val="21"/>
    </w:rPr>
  </w:style>
  <w:style w:type="paragraph" w:customStyle="1" w:styleId="12">
    <w:name w:val="_Style 10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uiPriority w:val="0"/>
    <w:pPr>
      <w:widowControl w:val="0"/>
      <w:autoSpaceDE w:val="0"/>
      <w:autoSpaceDN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4">
    <w:name w:val="批注主题 Char"/>
    <w:link w:val="2"/>
    <w:uiPriority w:val="0"/>
    <w:rPr>
      <w:b/>
      <w:bCs/>
      <w:kern w:val="2"/>
      <w:sz w:val="21"/>
    </w:rPr>
  </w:style>
  <w:style w:type="character" w:customStyle="1" w:styleId="15">
    <w:name w:val="批注文字 Char"/>
    <w:link w:val="3"/>
    <w:uiPriority w:val="0"/>
    <w:rPr>
      <w:kern w:val="2"/>
      <w:sz w:val="21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293</Words>
  <Characters>1673</Characters>
  <Lines>13</Lines>
  <Paragraphs>3</Paragraphs>
  <TotalTime>0</TotalTime>
  <ScaleCrop>false</ScaleCrop>
  <LinksUpToDate>false</LinksUpToDate>
  <CharactersWithSpaces>1963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2017-05-22T10:01:00Z</dcterms:created>
  <dc:creator>Administrator</dc:creator>
  <cp:lastModifiedBy>Administrator</cp:lastModifiedBy>
  <dcterms:modified xsi:type="dcterms:W3CDTF">2017-07-13T01:44:51Z</dcterms:modified>
  <dc:title>附件二：投资者关系活动记录表格式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