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E" w:rsidRPr="00157CF5" w:rsidRDefault="0045123C" w:rsidP="005F1F92">
      <w:pPr>
        <w:spacing w:beforeLines="50" w:afterLines="50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5F1F92">
      <w:pPr>
        <w:spacing w:beforeLines="50" w:afterLines="50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4238BD">
        <w:rPr>
          <w:rFonts w:ascii="宋体" w:hAnsi="宋体" w:hint="eastAsia"/>
          <w:bCs/>
          <w:iCs/>
          <w:color w:val="000000"/>
          <w:sz w:val="24"/>
        </w:rPr>
        <w:t>2017-001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45123C" w:rsidTr="004238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6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936B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</w:t>
            </w:r>
            <w:r w:rsidR="006B453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B664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6" w:rsidRDefault="0045123C" w:rsidP="00B6640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:rsidR="0045123C" w:rsidRDefault="0045123C" w:rsidP="00B66408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08" w:rsidRDefault="00B66408" w:rsidP="003370C5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4F0C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国信证券</w:t>
            </w: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敬雅、王东超；</w:t>
            </w: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兴业证券：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敖颖晨、李建楠；</w:t>
            </w:r>
          </w:p>
          <w:p w:rsidR="00B66408" w:rsidRDefault="00B66408" w:rsidP="003370C5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新华基金：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崔古昕；</w:t>
            </w: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方正证券：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郭丽丽；</w:t>
            </w:r>
          </w:p>
          <w:p w:rsidR="00B66408" w:rsidRDefault="00B66408" w:rsidP="003370C5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长江证券：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任楠；</w:t>
            </w: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安信证券：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方向；</w:t>
            </w:r>
            <w:r w:rsidRPr="00FD4F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海通证券：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李淼。</w:t>
            </w:r>
          </w:p>
        </w:tc>
      </w:tr>
      <w:tr w:rsidR="0045123C" w:rsidTr="001569B6">
        <w:trPr>
          <w:trHeight w:val="6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936BAD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2017年9月1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4238BD">
              <w:rPr>
                <w:rFonts w:ascii="宋体" w:hAnsi="宋体" w:hint="eastAsia"/>
                <w:bCs/>
                <w:iCs/>
                <w:color w:val="000000"/>
                <w:sz w:val="24"/>
              </w:rPr>
              <w:t>14:00</w:t>
            </w:r>
          </w:p>
        </w:tc>
      </w:tr>
      <w:tr w:rsidR="0045123C" w:rsidTr="004238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238BD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天津市河西区环岛西路梅江中心大厦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22层渤海水业股份有限公司会议室</w:t>
            </w:r>
          </w:p>
        </w:tc>
      </w:tr>
      <w:tr w:rsidR="0045123C" w:rsidTr="001569B6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238BD" w:rsidP="001569B6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董事长江波先生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董事会秘书李新霞女士</w:t>
            </w:r>
          </w:p>
        </w:tc>
      </w:tr>
      <w:tr w:rsidR="0045123C" w:rsidRPr="001D171B" w:rsidTr="0078264F">
        <w:trPr>
          <w:trHeight w:val="2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Pr="00C21C93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94" w:rsidRDefault="001D171B" w:rsidP="001D171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1.</w:t>
            </w:r>
            <w:r w:rsidR="0090219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公司未来的</w:t>
            </w:r>
            <w:r w:rsidR="001921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业务发展方向</w:t>
            </w:r>
            <w:r w:rsidR="0090219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是什么？</w:t>
            </w:r>
          </w:p>
          <w:p w:rsidR="00902194" w:rsidRPr="00902194" w:rsidRDefault="00902194" w:rsidP="001D171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目前，公司的原水、自来水业务</w:t>
            </w:r>
            <w:r w:rsidR="003A178A">
              <w:rPr>
                <w:rFonts w:ascii="宋体" w:hAnsi="宋体" w:hint="eastAsia"/>
                <w:bCs/>
                <w:iCs/>
                <w:color w:val="000000"/>
                <w:sz w:val="24"/>
              </w:rPr>
              <w:t>进入到持续稳定状态，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未来发展空间不大</w:t>
            </w:r>
            <w:r w:rsidR="003A178A">
              <w:rPr>
                <w:rFonts w:ascii="宋体" w:hAnsi="宋体" w:hint="eastAsia"/>
                <w:bCs/>
                <w:iCs/>
                <w:color w:val="000000"/>
                <w:sz w:val="24"/>
              </w:rPr>
              <w:t>增量减缓</w:t>
            </w:r>
            <w:r w:rsidR="001921CF">
              <w:rPr>
                <w:rFonts w:ascii="宋体" w:hAnsi="宋体" w:hint="eastAsia"/>
                <w:bCs/>
                <w:iCs/>
                <w:color w:val="000000"/>
                <w:sz w:val="24"/>
              </w:rPr>
              <w:t>，未来公司将围绕目前的主营业务，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在原产业链的基础上</w:t>
            </w:r>
            <w:r w:rsidR="001921CF">
              <w:rPr>
                <w:rFonts w:ascii="宋体" w:hAnsi="宋体" w:hint="eastAsia"/>
                <w:bCs/>
                <w:iCs/>
                <w:color w:val="000000"/>
                <w:sz w:val="24"/>
              </w:rPr>
              <w:t>拓展一些新的业务领域，包括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污水治理、流域治理及</w:t>
            </w:r>
            <w:r w:rsidR="001921CF">
              <w:rPr>
                <w:rFonts w:ascii="宋体" w:hAnsi="宋体" w:hint="eastAsia"/>
                <w:bCs/>
                <w:iCs/>
                <w:color w:val="000000"/>
                <w:sz w:val="24"/>
              </w:rPr>
              <w:t>区域环境的</w:t>
            </w:r>
            <w:r w:rsidR="003A178A">
              <w:rPr>
                <w:rFonts w:ascii="宋体" w:hAnsi="宋体" w:hint="eastAsia"/>
                <w:bCs/>
                <w:iCs/>
                <w:color w:val="000000"/>
                <w:sz w:val="24"/>
              </w:rPr>
              <w:t>治理</w:t>
            </w:r>
            <w:r w:rsidR="001921CF">
              <w:rPr>
                <w:rFonts w:ascii="宋体" w:hAnsi="宋体" w:hint="eastAsia"/>
                <w:bCs/>
                <w:iCs/>
                <w:color w:val="000000"/>
                <w:sz w:val="24"/>
              </w:rPr>
              <w:t>等业务领域。</w:t>
            </w:r>
          </w:p>
          <w:p w:rsidR="0045123C" w:rsidRPr="00AF2952" w:rsidRDefault="004F4D89" w:rsidP="001D171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2.</w:t>
            </w:r>
            <w:r w:rsidR="001D171B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请问嘉诚环保未来的发展战略是什么？</w:t>
            </w:r>
          </w:p>
          <w:p w:rsidR="001D171B" w:rsidRDefault="001D171B" w:rsidP="00AF295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公司的</w:t>
            </w:r>
            <w:r w:rsidR="00B55972">
              <w:rPr>
                <w:rFonts w:ascii="宋体" w:hAnsi="宋体" w:hint="eastAsia"/>
                <w:bCs/>
                <w:iCs/>
                <w:color w:val="000000"/>
                <w:sz w:val="24"/>
              </w:rPr>
              <w:t>控股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子公司嘉诚环保是从污水处理业务</w:t>
            </w:r>
            <w:r w:rsidR="00A93BA9">
              <w:rPr>
                <w:rFonts w:ascii="宋体" w:hAnsi="宋体"/>
                <w:bCs/>
                <w:iCs/>
                <w:color w:val="000000"/>
                <w:sz w:val="24"/>
              </w:rPr>
              <w:t>发展壮大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自</w:t>
            </w:r>
            <w:proofErr w:type="gramStart"/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十二五</w:t>
            </w:r>
            <w:proofErr w:type="gramEnd"/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规划以来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国家鼓励民营资本进入公共设施领域，嘉诚环保</w:t>
            </w:r>
            <w:proofErr w:type="gramStart"/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趁着国家</w:t>
            </w:r>
            <w:proofErr w:type="gramEnd"/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环保政策的东风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陆续开展污水处理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的投资及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PPP项目，未来会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在污水处理项目的基础上进一步积极拓展污泥治理、河道及流域治理、黑臭水体等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相关领域的项目，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围绕着现有的污水处理PPP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存量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项目，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深度挖掘增量价值，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包括水厂的提标改造、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扩容建设、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污泥处理等</w:t>
            </w:r>
            <w:r w:rsidR="00A93BA9">
              <w:rPr>
                <w:rFonts w:ascii="宋体" w:hAnsi="宋体" w:hint="eastAsia"/>
                <w:bCs/>
                <w:iCs/>
                <w:color w:val="000000"/>
                <w:sz w:val="24"/>
              </w:rPr>
              <w:t>延伸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业务，主要业务模式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PPP模式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、BOT、ROT、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EPC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等多种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模式。</w:t>
            </w:r>
          </w:p>
          <w:p w:rsidR="001D171B" w:rsidRPr="00AF2952" w:rsidRDefault="004F4D89" w:rsidP="001D171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</w:t>
            </w:r>
            <w:r w:rsidR="001D171B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.公司收购了嘉诚环保之后，在PPP项目投资有没有一些业务上的协同作用？</w:t>
            </w:r>
          </w:p>
          <w:p w:rsidR="001D171B" w:rsidRDefault="001D171B" w:rsidP="00AF295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有协同，上市公司</w:t>
            </w:r>
            <w:r w:rsidR="0097561B">
              <w:rPr>
                <w:rFonts w:ascii="宋体" w:hAnsi="宋体" w:hint="eastAsia"/>
                <w:bCs/>
                <w:iCs/>
                <w:color w:val="000000"/>
                <w:sz w:val="24"/>
              </w:rPr>
              <w:t>具有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资本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及体量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上的优势，嘉诚环保在污水处理等领域</w:t>
            </w:r>
            <w:r w:rsidR="0097561B">
              <w:rPr>
                <w:rFonts w:ascii="宋体" w:hAnsi="宋体" w:hint="eastAsia"/>
                <w:bCs/>
                <w:iCs/>
                <w:color w:val="000000"/>
                <w:sz w:val="24"/>
              </w:rPr>
              <w:t>具有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技术优势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、团队优势及市场优势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同时还可以充分发挥京津冀一体化的区域协同效应，</w:t>
            </w:r>
            <w:r w:rsidR="0097561B">
              <w:rPr>
                <w:rFonts w:ascii="宋体" w:hAnsi="宋体" w:hint="eastAsia"/>
                <w:bCs/>
                <w:iCs/>
                <w:color w:val="000000"/>
                <w:sz w:val="24"/>
              </w:rPr>
              <w:t>二者很好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地进行了优势互补</w:t>
            </w:r>
            <w:r w:rsidR="0097561B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现阶段</w:t>
            </w:r>
            <w:r w:rsidR="0097561B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已经作为联合体进行了一些项目的投标。</w:t>
            </w:r>
          </w:p>
          <w:p w:rsidR="0097561B" w:rsidRPr="00AF2952" w:rsidRDefault="004F4D89" w:rsidP="0097561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</w:t>
            </w:r>
            <w:r w:rsidR="0097561B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r w:rsidR="00A9682C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公司于2016年设立了环境产业基金，目前该基金的运营情况怎么样？</w:t>
            </w:r>
          </w:p>
          <w:p w:rsidR="00A9682C" w:rsidRDefault="00A9682C" w:rsidP="00AF295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目前，环境产业基金尚未投资相关项目，因为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基金管理团队对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项目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标</w:t>
            </w:r>
            <w:proofErr w:type="gramEnd"/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proofErr w:type="gramEnd"/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评估方式及结果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与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的心里预期</w:t>
            </w:r>
            <w:r w:rsidR="00815F13"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上市公司的产业互动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需要有一定的匹配度，</w:t>
            </w:r>
            <w:r w:rsidR="00E605E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目前还没有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找到</w:t>
            </w:r>
            <w:r w:rsidR="00E605E4">
              <w:rPr>
                <w:rFonts w:ascii="宋体" w:hAnsi="宋体" w:hint="eastAsia"/>
                <w:bCs/>
                <w:iCs/>
                <w:color w:val="000000"/>
                <w:sz w:val="24"/>
              </w:rPr>
              <w:t>合适的投资项目。</w:t>
            </w:r>
          </w:p>
          <w:p w:rsidR="00E605E4" w:rsidRPr="00AF2952" w:rsidRDefault="004F4D89" w:rsidP="0097561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</w:t>
            </w:r>
            <w:r w:rsidR="00E605E4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proofErr w:type="gramStart"/>
            <w:r w:rsidR="00E605E4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雄安新区</w:t>
            </w:r>
            <w:proofErr w:type="gramEnd"/>
            <w:r w:rsidR="00E605E4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成立后，</w:t>
            </w:r>
            <w:r w:rsidR="006526DB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E605E4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在水治理业务领域应该有很多</w:t>
            </w:r>
            <w:r w:rsidR="006526DB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机会？</w:t>
            </w:r>
          </w:p>
          <w:p w:rsidR="006526DB" w:rsidRDefault="006526DB" w:rsidP="00AF295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目前全国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的环保压力都非常大，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都在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加大力度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开展环境治理，公司主要业务所在地天津和河北省，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本身就是环保督查的重点区域，</w:t>
            </w:r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再</w:t>
            </w:r>
            <w:proofErr w:type="gramStart"/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加上雄安新区</w:t>
            </w:r>
            <w:proofErr w:type="gramEnd"/>
            <w:r w:rsidR="00963380">
              <w:rPr>
                <w:rFonts w:ascii="宋体" w:hAnsi="宋体" w:hint="eastAsia"/>
                <w:bCs/>
                <w:iCs/>
                <w:color w:val="000000"/>
                <w:sz w:val="24"/>
              </w:rPr>
              <w:t>的设立，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环保形势尤其严峻，政府提出，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宁可牺牲GDP也要</w:t>
            </w:r>
            <w:r w:rsidR="00784B11">
              <w:rPr>
                <w:rFonts w:ascii="宋体" w:hAnsi="宋体" w:hint="eastAsia"/>
                <w:bCs/>
                <w:iCs/>
                <w:color w:val="000000"/>
                <w:sz w:val="24"/>
              </w:rPr>
              <w:t>做好环境治理，因此未来公司在环境治理领域有很大的发展空间。</w:t>
            </w:r>
          </w:p>
          <w:p w:rsidR="00784B11" w:rsidRPr="00AF2952" w:rsidRDefault="004F4D89" w:rsidP="006526D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6</w:t>
            </w:r>
            <w:r w:rsidR="00784B11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.从近几年的财务数据来看，公司的原水业务</w:t>
            </w:r>
            <w:r w:rsidR="00B27318" w:rsidRPr="00AF295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增长缓慢，甚至有一定的下滑，请问主要是什么原因？</w:t>
            </w:r>
          </w:p>
          <w:p w:rsidR="00AF2952" w:rsidRDefault="00B14455" w:rsidP="00AF2952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一方面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由于</w:t>
            </w:r>
            <w:r w:rsidR="00AF2952" w:rsidRP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2016 年开始实施的营改增政策，造成其原水收入确认时会直接扣除增值税，直接导致主营业务收入相对于2015 年度的减少</w:t>
            </w:r>
            <w:r w:rsid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；另一方面</w:t>
            </w:r>
            <w:r w:rsidR="00AF2952" w:rsidRP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，近年来受实体经济如钢铁、石化行业景气度持续下滑以及国家节能减</w:t>
            </w:r>
            <w:proofErr w:type="gramStart"/>
            <w:r w:rsidR="00AF2952" w:rsidRP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排政策</w:t>
            </w:r>
            <w:proofErr w:type="gramEnd"/>
            <w:r w:rsidR="00AF2952" w:rsidRP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的影响，公司原水业务的下游工业企业需水量减少，因此造成该业务收入规模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持平，甚至有阶段性的</w:t>
            </w:r>
            <w:r w:rsidR="00AF2952" w:rsidRPr="00AF2952">
              <w:rPr>
                <w:rFonts w:ascii="宋体" w:hAnsi="宋体" w:hint="eastAsia"/>
                <w:bCs/>
                <w:iCs/>
                <w:color w:val="000000"/>
                <w:sz w:val="24"/>
              </w:rPr>
              <w:t>下降。</w:t>
            </w:r>
          </w:p>
          <w:p w:rsidR="004F4D89" w:rsidRPr="004F4D89" w:rsidRDefault="004F4D89" w:rsidP="004F4D8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F4D8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7.公司是否具有流域治理的相关资质？</w:t>
            </w:r>
          </w:p>
          <w:p w:rsidR="004F4D89" w:rsidRDefault="004F4D89" w:rsidP="008F33BB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公司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在环保施工领域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资质齐全，具备承接相关项目的资质，此外，嘉诚环保在2014年就已经开展河道治理的相关项目，</w:t>
            </w:r>
            <w:r w:rsidR="008F33BB">
              <w:rPr>
                <w:rFonts w:ascii="宋体" w:hAnsi="宋体" w:hint="eastAsia"/>
                <w:bCs/>
                <w:iCs/>
                <w:color w:val="000000"/>
                <w:sz w:val="24"/>
              </w:rPr>
              <w:t>具有相关项目实施经验，技术成熟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，管理运行经验丰富</w:t>
            </w:r>
            <w:r w:rsidR="008F33B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8F33BB" w:rsidRPr="008F33BB" w:rsidRDefault="008F33BB" w:rsidP="008F33BB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F33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8.公司主要的污水处理业务在天津市和河北省，未来污水处理业务前景如何？</w:t>
            </w:r>
          </w:p>
          <w:p w:rsidR="00B27318" w:rsidRDefault="008F33BB" w:rsidP="007E2766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公司的环境治理业务主要集中在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天津市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和河北省，在现阶段，国家的污水处理厂建设已经完成了县级污水处理厂的建设，未来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污水处理厂的建设需求主要集中于</w:t>
            </w:r>
            <w:r w:rsidR="0012496F">
              <w:rPr>
                <w:rFonts w:ascii="宋体" w:hAnsi="宋体" w:hint="eastAsia"/>
                <w:bCs/>
                <w:iCs/>
                <w:color w:val="000000"/>
                <w:sz w:val="24"/>
              </w:rPr>
              <w:t>县级及县级以上的污水处理厂的提标升级、扩容改造，各县级第二污水处理厂、新建工业园区污水厂的建设及污泥处理，各乡镇污水厂，及新农村污水处理项目等领域，相对前些年，污水处理的整体趋势呈现单体规模小，区域分散、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标准要求高等特点。公司会充分利用和挖掘自身优势，审慎选择项目，保证要求的资金回报率，确保股东利益最大化。</w:t>
            </w:r>
          </w:p>
          <w:p w:rsidR="007E2766" w:rsidRPr="007E2766" w:rsidRDefault="007E2766" w:rsidP="007E2766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E276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9.目前河北省开展流域治理和黑臭水治理类项目，公司参与此类项目的优势在哪？</w:t>
            </w:r>
          </w:p>
          <w:p w:rsidR="007E2766" w:rsidRDefault="007E2766" w:rsidP="00DF6FB3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一是熟悉市场情况，通过近年来的经验积累，公司对该行业较熟悉</w:t>
            </w:r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，对市场的</w:t>
            </w:r>
            <w:proofErr w:type="gramStart"/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判断较</w:t>
            </w:r>
            <w:proofErr w:type="gramEnd"/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准确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；二是公司的资质齐全，不存在技术短板；三是公司具有资金方面的优势</w:t>
            </w:r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</w:t>
            </w:r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在该领域，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公司有非常明显</w:t>
            </w:r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的优势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获取和运营此类的业务</w:t>
            </w:r>
            <w:r w:rsidR="00DF6F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F6FB3" w:rsidRPr="00DF6FB3" w:rsidRDefault="00DF6FB3" w:rsidP="00DF6FB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DF6FB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10.请介绍一下公司工业水处理业务开展的情况。</w:t>
            </w:r>
          </w:p>
          <w:p w:rsidR="00DF6FB3" w:rsidRDefault="00DF6FB3" w:rsidP="00DF6FB3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2014年之前，嘉诚环保工业水处理业务的营收占比较大，随着PPP项目的开展，稀释了工业水处理营收所占的比例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因为工业水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污染源呈现多样化、污染程度严重、污染成分复杂等特点，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国家目前对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工业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企业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等点源污染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监管严格，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大的经济形势日趋严峻，</w:t>
            </w:r>
            <w:proofErr w:type="gramStart"/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故工业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企业的发展前景不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乐观，不确定性较大，因此公司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工业水处理类的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运营项目</w:t>
            </w:r>
            <w:r w:rsidR="007420F7">
              <w:rPr>
                <w:rFonts w:ascii="宋体" w:hAnsi="宋体" w:hint="eastAsia"/>
                <w:bCs/>
                <w:iCs/>
                <w:color w:val="000000"/>
                <w:sz w:val="24"/>
              </w:rPr>
              <w:t>非常谨慎。</w:t>
            </w:r>
            <w:r w:rsidR="00347745">
              <w:rPr>
                <w:rFonts w:ascii="宋体" w:hAnsi="宋体" w:hint="eastAsia"/>
                <w:bCs/>
                <w:iCs/>
                <w:color w:val="000000"/>
                <w:sz w:val="24"/>
              </w:rPr>
              <w:t>对于EPC类的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工业水处理项目目前</w:t>
            </w:r>
            <w:r w:rsidR="00347745">
              <w:rPr>
                <w:rFonts w:ascii="宋体" w:hAnsi="宋体" w:hint="eastAsia"/>
                <w:bCs/>
                <w:iCs/>
                <w:color w:val="000000"/>
                <w:sz w:val="24"/>
              </w:rPr>
              <w:t>仍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存在一定的账款回收风险，因此目前公司主要跟踪有专项资金、政府补贴的项目，世行、亚行贷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款资金项目，确保工程的利润要求</w:t>
            </w:r>
            <w:r w:rsidR="0034774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bookmarkStart w:id="0" w:name="_GoBack"/>
            <w:bookmarkEnd w:id="0"/>
          </w:p>
          <w:p w:rsidR="00DF6FB3" w:rsidRPr="00BC4114" w:rsidRDefault="00DF6FB3" w:rsidP="00DF6FB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C411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11.请介绍一下公司投资的中福天河养老项目。</w:t>
            </w:r>
          </w:p>
          <w:p w:rsidR="00DF6FB3" w:rsidRDefault="00DF6FB3" w:rsidP="00BC4114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中福天河项目是公司和国开行一起投资的项目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E95A9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投资该项目主要是看好养老市场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需求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。该项目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是高端养老项目，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除了公司和国开行参与之外，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天河计算机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也参与了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合作，系统是采用日本的技术，结合丹麦的养老理念，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目标是打造一个世界领先的概念型养老体系。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公司通过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该项目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，重点是整合资源，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探索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养老的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发展模式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，打造养老示范区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。该项目不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单单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是养老项目，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是一个大健康的概念，日后大健康将会与PPP项目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模式</w:t>
            </w:r>
            <w:r w:rsidR="00BC4114">
              <w:rPr>
                <w:rFonts w:ascii="宋体" w:hAnsi="宋体" w:hint="eastAsia"/>
                <w:bCs/>
                <w:iCs/>
                <w:color w:val="000000"/>
                <w:sz w:val="24"/>
              </w:rPr>
              <w:t>相结合。</w:t>
            </w:r>
          </w:p>
          <w:p w:rsidR="00BC4114" w:rsidRPr="00BC4114" w:rsidRDefault="00BC4114" w:rsidP="00BC411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C411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12.目前大股东对公司管理层是否有年终考核？</w:t>
            </w:r>
          </w:p>
          <w:p w:rsidR="00BC4114" w:rsidRDefault="00BC4114" w:rsidP="00BC4114">
            <w:pPr>
              <w:spacing w:line="360" w:lineRule="auto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目前没有。</w:t>
            </w:r>
          </w:p>
          <w:p w:rsidR="00BC4114" w:rsidRPr="00BC4114" w:rsidRDefault="00BC4114" w:rsidP="00BC411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C411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13.请介绍一下公司中标的卢龙县项目。</w:t>
            </w:r>
          </w:p>
          <w:p w:rsidR="00BC4114" w:rsidRDefault="00BC4114" w:rsidP="00BC4114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该项目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总投资约20亿元，涵盖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供水、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污水处理、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污泥、固废处理、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供热、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畜禽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养殖场等类型的项目。其中一部分是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非自营性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项目，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一部分是准自营性项目，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也有一部分是自营性的项目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该项目的建设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在2016年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已经开始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，将按照政府进度要求陆续完成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D14B6" w:rsidRPr="00426945" w:rsidRDefault="00DD14B6" w:rsidP="00DD14B6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</w:t>
            </w: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.请介绍一下公司的净水设备业务。</w:t>
            </w:r>
          </w:p>
          <w:p w:rsidR="00DD14B6" w:rsidRDefault="00DD14B6" w:rsidP="0042694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公司的净水设备</w:t>
            </w:r>
            <w:r w:rsidR="00426945">
              <w:rPr>
                <w:rFonts w:ascii="宋体" w:hAnsi="宋体" w:hint="eastAsia"/>
                <w:bCs/>
                <w:iCs/>
                <w:color w:val="000000"/>
                <w:sz w:val="24"/>
              </w:rPr>
              <w:t>采用的是膜技术，该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业务主要由子公司滨生源负责，有专门的业务团队，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滨生源的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业务不仅限于净水设备，还包括智能水表等业务，由于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集团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公司的客户</w:t>
            </w:r>
            <w:r w:rsidR="00426945">
              <w:rPr>
                <w:rFonts w:ascii="宋体" w:hAnsi="宋体" w:hint="eastAsia"/>
                <w:bCs/>
                <w:iCs/>
                <w:color w:val="000000"/>
                <w:sz w:val="24"/>
              </w:rPr>
              <w:t>较多，存在资源优势，因此也在探索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在原领域基础上的衍生产品及</w:t>
            </w:r>
            <w:r w:rsidR="00426945">
              <w:rPr>
                <w:rFonts w:ascii="宋体" w:hAnsi="宋体" w:hint="eastAsia"/>
                <w:bCs/>
                <w:iCs/>
                <w:color w:val="000000"/>
                <w:sz w:val="24"/>
              </w:rPr>
              <w:t>相应的商业模式。</w:t>
            </w:r>
          </w:p>
          <w:p w:rsidR="00426945" w:rsidRPr="00426945" w:rsidRDefault="00426945" w:rsidP="00426945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</w:t>
            </w: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.目前市场上的净水设备品牌较多，请问公司净水设备市场覆盖率有多大？</w:t>
            </w:r>
          </w:p>
          <w:p w:rsidR="00426945" w:rsidRDefault="00426945" w:rsidP="0042694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目前净水设备的产品市场准入门槛很低，关键在于产品的渠道和市场，是完全市场化的行为，有没有成熟的渠道支撑是关键，目前公司该板块的业务处于起步阶段，市场覆盖率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t>有待</w:t>
            </w:r>
            <w:r w:rsidR="00A642DD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进一步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拓展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26945" w:rsidRPr="00426945" w:rsidRDefault="00426945" w:rsidP="00426945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6</w:t>
            </w: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.请谈谈公司未来战略转型的计划。</w:t>
            </w:r>
          </w:p>
          <w:p w:rsidR="00426945" w:rsidRDefault="00426945" w:rsidP="0042694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公司原有业务以原水和自来水供水为主，今年初完成了嘉诚环保55%股权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的收购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，本次并购本身就是一次战略转型，另外，公司在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设备生产研发领域、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养老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大健康领域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也在做一些转型的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探讨和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尝试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，并初见成效。</w:t>
            </w:r>
          </w:p>
          <w:p w:rsidR="00426945" w:rsidRPr="00426945" w:rsidRDefault="00426945" w:rsidP="00426945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7</w:t>
            </w: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.公司的新业务包含清洁能源，请问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主要是以什么模式开展？</w:t>
            </w:r>
            <w:r w:rsidRPr="0042694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目前有没有已经落地的项目？</w:t>
            </w:r>
          </w:p>
          <w:p w:rsidR="00426945" w:rsidRDefault="00426945" w:rsidP="00426945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主要是做光伏发电，目前该业务领域有部分项目储备，还没有已经落地的项目，</w:t>
            </w:r>
            <w:r w:rsidR="002F5EB9">
              <w:rPr>
                <w:rFonts w:ascii="宋体" w:hAnsi="宋体" w:hint="eastAsia"/>
                <w:bCs/>
                <w:iCs/>
                <w:color w:val="000000"/>
                <w:sz w:val="24"/>
              </w:rPr>
              <w:t>计划以合同能源管理模式或BOT等模式开展，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首先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计划将光伏发电与污水处理厂的运营相结合，从而降低污水处理厂的运营成本。</w:t>
            </w:r>
          </w:p>
          <w:p w:rsidR="00426945" w:rsidRPr="001803F9" w:rsidRDefault="00426945" w:rsidP="00426945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803F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8</w:t>
            </w:r>
            <w:r w:rsidRPr="001803F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r w:rsidR="001803F9" w:rsidRPr="001803F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公司有没有开展股权激励的计划？</w:t>
            </w:r>
          </w:p>
          <w:p w:rsidR="001803F9" w:rsidRDefault="001803F9" w:rsidP="001803F9">
            <w:pPr>
              <w:spacing w:line="360" w:lineRule="auto"/>
              <w:ind w:firstLine="465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目前还没有。</w:t>
            </w:r>
          </w:p>
          <w:p w:rsidR="001803F9" w:rsidRPr="001803F9" w:rsidRDefault="00CD0141" w:rsidP="001803F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19</w:t>
            </w:r>
            <w:r w:rsidR="001803F9" w:rsidRPr="001803F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.目前嘉诚环保的收入主要是以工程收入为主，未来运营收入的占比是否会大幅提升？</w:t>
            </w:r>
          </w:p>
          <w:p w:rsidR="001803F9" w:rsidRDefault="001803F9" w:rsidP="001803F9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嘉诚环保自2013年开始做投资运营类的项目，大部分项目处于建设期，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因此目前营</w:t>
            </w:r>
            <w:proofErr w:type="gramStart"/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收主要</w:t>
            </w:r>
            <w:proofErr w:type="gramEnd"/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是以工程收入为主；抢滩布局的投入期过后，陆续进入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运营期，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运营收入会大幅提升。由于PPP类业务本身的特殊性，如果不降低水厂及公共设施投资的速度和幅度，伴随运营收入的绝对值大幅上升，运营的占比不一定同步上升，这主要是新投资水厂的建设规模所决定。</w:t>
            </w:r>
          </w:p>
          <w:p w:rsidR="00590450" w:rsidRDefault="001803F9" w:rsidP="001803F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0</w:t>
            </w: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r w:rsid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公司上半年经营性现金流量有一定的下降，资金是否存在较大压力？</w:t>
            </w:r>
          </w:p>
          <w:p w:rsidR="00590450" w:rsidRDefault="00590450" w:rsidP="00590450">
            <w:pPr>
              <w:spacing w:line="360" w:lineRule="auto"/>
              <w:ind w:firstLine="495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9045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公司目前的业务规模</w:t>
            </w:r>
            <w:r w:rsidR="00FA44E5">
              <w:rPr>
                <w:rFonts w:ascii="宋体" w:hAnsi="宋体" w:hint="eastAsia"/>
                <w:bCs/>
                <w:iCs/>
                <w:color w:val="000000"/>
                <w:sz w:val="24"/>
              </w:rPr>
              <w:t>处于快速扩张期，公司本身属于公共事业领域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0F6B4F">
              <w:rPr>
                <w:rFonts w:ascii="宋体" w:hAnsi="宋体" w:hint="eastAsia"/>
                <w:bCs/>
                <w:iCs/>
                <w:color w:val="000000"/>
                <w:sz w:val="24"/>
              </w:rPr>
              <w:t>大量参与了PPP项目，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因此资金需求较大，随着项目转入运营期将会改善上述状况。</w:t>
            </w:r>
          </w:p>
          <w:p w:rsidR="00590450" w:rsidRPr="00590450" w:rsidRDefault="00590450" w:rsidP="00590450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.工业水处理水价一般为多少？</w:t>
            </w:r>
          </w:p>
          <w:p w:rsidR="00590450" w:rsidRPr="00590450" w:rsidRDefault="00590450" w:rsidP="0059045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根据进水水质的差别，水处理价格存在较大差异。</w:t>
            </w:r>
          </w:p>
          <w:p w:rsidR="00590450" w:rsidRPr="00590450" w:rsidRDefault="00590450" w:rsidP="001803F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2</w:t>
            </w:r>
            <w:r w:rsid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请描述</w:t>
            </w:r>
            <w:r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公司供水管网的折旧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情况。</w:t>
            </w:r>
          </w:p>
          <w:p w:rsidR="00590450" w:rsidRPr="00590450" w:rsidRDefault="00590450" w:rsidP="001803F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公司的供水管网，一部分是自建的，该部分存在折旧，另一部分是托管运营的，该部分管线不存在折旧。</w:t>
            </w:r>
          </w:p>
          <w:p w:rsidR="001803F9" w:rsidRPr="00590450" w:rsidRDefault="00590450" w:rsidP="001803F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="00CD0141" w:rsidRP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</w:t>
            </w:r>
            <w:r w:rsidRPr="00CD014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.</w:t>
            </w:r>
            <w:r w:rsidR="001803F9" w:rsidRPr="0059045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嘉诚环保今年的业绩承诺能否完成？</w:t>
            </w:r>
          </w:p>
          <w:p w:rsidR="001803F9" w:rsidRPr="001803F9" w:rsidRDefault="001803F9" w:rsidP="001803F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我们</w:t>
            </w:r>
            <w:r w:rsidR="00590450">
              <w:rPr>
                <w:rFonts w:ascii="宋体" w:hAnsi="宋体" w:hint="eastAsia"/>
                <w:bCs/>
                <w:iCs/>
                <w:color w:val="000000"/>
                <w:sz w:val="24"/>
              </w:rPr>
              <w:t>对今年业绩承诺完成情况持乐观态度。</w:t>
            </w:r>
          </w:p>
        </w:tc>
      </w:tr>
      <w:tr w:rsidR="0045123C" w:rsidTr="001569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8454B4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1569B6">
        <w:trPr>
          <w:trHeight w:val="5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238BD" w:rsidP="001569B6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2017年9月18日</w:t>
            </w:r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37" w:rsidRDefault="00B30937" w:rsidP="00A40AB3">
      <w:r>
        <w:separator/>
      </w:r>
    </w:p>
  </w:endnote>
  <w:endnote w:type="continuationSeparator" w:id="0">
    <w:p w:rsidR="00B30937" w:rsidRDefault="00B30937" w:rsidP="00A4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37" w:rsidRDefault="00B30937" w:rsidP="00A40AB3">
      <w:r>
        <w:separator/>
      </w:r>
    </w:p>
  </w:footnote>
  <w:footnote w:type="continuationSeparator" w:id="0">
    <w:p w:rsidR="00B30937" w:rsidRDefault="00B30937" w:rsidP="00A4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B02"/>
    <w:multiLevelType w:val="hybridMultilevel"/>
    <w:tmpl w:val="D3E0BE2C"/>
    <w:lvl w:ilvl="0" w:tplc="5F18B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23C"/>
    <w:rsid w:val="00037EFE"/>
    <w:rsid w:val="00056A36"/>
    <w:rsid w:val="000F6B4F"/>
    <w:rsid w:val="0012496F"/>
    <w:rsid w:val="0015145C"/>
    <w:rsid w:val="00152FA6"/>
    <w:rsid w:val="001569B6"/>
    <w:rsid w:val="00157CF5"/>
    <w:rsid w:val="001714C3"/>
    <w:rsid w:val="001803F9"/>
    <w:rsid w:val="001921CF"/>
    <w:rsid w:val="00196ABD"/>
    <w:rsid w:val="001C19FC"/>
    <w:rsid w:val="001D171B"/>
    <w:rsid w:val="001D72DC"/>
    <w:rsid w:val="001F077F"/>
    <w:rsid w:val="00296AC7"/>
    <w:rsid w:val="002A655F"/>
    <w:rsid w:val="002F5EB9"/>
    <w:rsid w:val="00300C6E"/>
    <w:rsid w:val="003370C5"/>
    <w:rsid w:val="00347745"/>
    <w:rsid w:val="00381452"/>
    <w:rsid w:val="003A178A"/>
    <w:rsid w:val="003B53B8"/>
    <w:rsid w:val="004238BD"/>
    <w:rsid w:val="00426945"/>
    <w:rsid w:val="0045123C"/>
    <w:rsid w:val="00465E35"/>
    <w:rsid w:val="00493499"/>
    <w:rsid w:val="004A1AB0"/>
    <w:rsid w:val="004F4D89"/>
    <w:rsid w:val="00561AF4"/>
    <w:rsid w:val="005740AA"/>
    <w:rsid w:val="00590450"/>
    <w:rsid w:val="005C206B"/>
    <w:rsid w:val="005F060E"/>
    <w:rsid w:val="005F1F92"/>
    <w:rsid w:val="00630275"/>
    <w:rsid w:val="006526DB"/>
    <w:rsid w:val="006656F7"/>
    <w:rsid w:val="00670ED8"/>
    <w:rsid w:val="006721D7"/>
    <w:rsid w:val="006917E1"/>
    <w:rsid w:val="006B4533"/>
    <w:rsid w:val="006D61E2"/>
    <w:rsid w:val="0074140E"/>
    <w:rsid w:val="007420F7"/>
    <w:rsid w:val="00744E07"/>
    <w:rsid w:val="0078264F"/>
    <w:rsid w:val="00784B11"/>
    <w:rsid w:val="007B7594"/>
    <w:rsid w:val="007D4E00"/>
    <w:rsid w:val="007E2766"/>
    <w:rsid w:val="00815F13"/>
    <w:rsid w:val="00844504"/>
    <w:rsid w:val="00844FEA"/>
    <w:rsid w:val="00845423"/>
    <w:rsid w:val="008454B4"/>
    <w:rsid w:val="00856873"/>
    <w:rsid w:val="00857627"/>
    <w:rsid w:val="008756D2"/>
    <w:rsid w:val="008804ED"/>
    <w:rsid w:val="008A39E9"/>
    <w:rsid w:val="008C70EA"/>
    <w:rsid w:val="008E297F"/>
    <w:rsid w:val="008F0AB2"/>
    <w:rsid w:val="008F33BB"/>
    <w:rsid w:val="00902194"/>
    <w:rsid w:val="00924858"/>
    <w:rsid w:val="00932EFF"/>
    <w:rsid w:val="00936BAD"/>
    <w:rsid w:val="00963380"/>
    <w:rsid w:val="0097561B"/>
    <w:rsid w:val="009B23DC"/>
    <w:rsid w:val="009D24A6"/>
    <w:rsid w:val="00A20EBE"/>
    <w:rsid w:val="00A23D99"/>
    <w:rsid w:val="00A27F2C"/>
    <w:rsid w:val="00A35269"/>
    <w:rsid w:val="00A40AB3"/>
    <w:rsid w:val="00A642DD"/>
    <w:rsid w:val="00A93BA9"/>
    <w:rsid w:val="00A9682C"/>
    <w:rsid w:val="00AC2F40"/>
    <w:rsid w:val="00AD0D8D"/>
    <w:rsid w:val="00AD282F"/>
    <w:rsid w:val="00AF2952"/>
    <w:rsid w:val="00AF3A3C"/>
    <w:rsid w:val="00B14455"/>
    <w:rsid w:val="00B173C3"/>
    <w:rsid w:val="00B27318"/>
    <w:rsid w:val="00B30937"/>
    <w:rsid w:val="00B464CE"/>
    <w:rsid w:val="00B52513"/>
    <w:rsid w:val="00B55972"/>
    <w:rsid w:val="00B66408"/>
    <w:rsid w:val="00B8721F"/>
    <w:rsid w:val="00BB11F9"/>
    <w:rsid w:val="00BC4114"/>
    <w:rsid w:val="00BE44AF"/>
    <w:rsid w:val="00C21C93"/>
    <w:rsid w:val="00C35341"/>
    <w:rsid w:val="00C43956"/>
    <w:rsid w:val="00C54B83"/>
    <w:rsid w:val="00CD0141"/>
    <w:rsid w:val="00CF0A6A"/>
    <w:rsid w:val="00D06E48"/>
    <w:rsid w:val="00D254C1"/>
    <w:rsid w:val="00D41601"/>
    <w:rsid w:val="00D9225A"/>
    <w:rsid w:val="00DD14B6"/>
    <w:rsid w:val="00DE56C8"/>
    <w:rsid w:val="00DF6FB3"/>
    <w:rsid w:val="00E45D21"/>
    <w:rsid w:val="00E605E4"/>
    <w:rsid w:val="00E63957"/>
    <w:rsid w:val="00E95A97"/>
    <w:rsid w:val="00ED6769"/>
    <w:rsid w:val="00F24D24"/>
    <w:rsid w:val="00F43E56"/>
    <w:rsid w:val="00FA44E5"/>
    <w:rsid w:val="00FD11A0"/>
    <w:rsid w:val="00FD4F0C"/>
    <w:rsid w:val="00FD6CC8"/>
    <w:rsid w:val="00F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F1F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F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3BCB-4DAA-46EE-9D95-716F2176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刘杨</cp:lastModifiedBy>
  <cp:revision>39</cp:revision>
  <dcterms:created xsi:type="dcterms:W3CDTF">2014-12-12T01:02:00Z</dcterms:created>
  <dcterms:modified xsi:type="dcterms:W3CDTF">2017-09-19T03:14:00Z</dcterms:modified>
</cp:coreProperties>
</file>