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B14" w:rsidRPr="002E7E11" w:rsidRDefault="00A86B14" w:rsidP="009C7231">
      <w:pPr>
        <w:spacing w:beforeLines="50" w:line="360" w:lineRule="auto"/>
        <w:rPr>
          <w:rFonts w:ascii="宋体" w:hAnsi="宋体"/>
          <w:bCs/>
          <w:iCs/>
          <w:color w:val="000000"/>
          <w:sz w:val="24"/>
        </w:rPr>
      </w:pPr>
      <w:r w:rsidRPr="002E7E11">
        <w:rPr>
          <w:rFonts w:ascii="宋体" w:hAnsi="宋体" w:hint="eastAsia"/>
          <w:bCs/>
          <w:iCs/>
          <w:color w:val="000000"/>
          <w:sz w:val="24"/>
        </w:rPr>
        <w:t>证券代码：300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55</w:t>
      </w:r>
      <w:r w:rsidRPr="002E7E11">
        <w:rPr>
          <w:rFonts w:ascii="宋体" w:hAnsi="宋体" w:hint="eastAsia"/>
          <w:bCs/>
          <w:iCs/>
          <w:color w:val="000000"/>
          <w:sz w:val="24"/>
        </w:rPr>
        <w:t>3                                   证券简称：</w:t>
      </w:r>
      <w:r w:rsidR="002E7E11" w:rsidRPr="002E7E11">
        <w:rPr>
          <w:rFonts w:ascii="宋体" w:hAnsi="宋体" w:hint="eastAsia"/>
          <w:bCs/>
          <w:iCs/>
          <w:color w:val="000000"/>
          <w:sz w:val="24"/>
        </w:rPr>
        <w:t>集智</w:t>
      </w:r>
      <w:r w:rsidRPr="002E7E11">
        <w:rPr>
          <w:rFonts w:ascii="宋体" w:hAnsi="宋体" w:hint="eastAsia"/>
          <w:bCs/>
          <w:iCs/>
          <w:color w:val="000000"/>
          <w:sz w:val="24"/>
        </w:rPr>
        <w:t>股份</w:t>
      </w:r>
    </w:p>
    <w:p w:rsidR="00A86B14" w:rsidRPr="002E7E11" w:rsidRDefault="00A86B14" w:rsidP="009C7231">
      <w:pPr>
        <w:spacing w:beforeLines="50" w:line="360" w:lineRule="auto"/>
        <w:ind w:firstLineChars="946" w:firstLine="2849"/>
        <w:rPr>
          <w:rFonts w:ascii="宋体" w:hAnsi="宋体"/>
          <w:b/>
          <w:bCs/>
          <w:iCs/>
          <w:color w:val="000000"/>
          <w:sz w:val="30"/>
          <w:szCs w:val="30"/>
        </w:rPr>
      </w:pPr>
      <w:r w:rsidRPr="002E7E11">
        <w:rPr>
          <w:rFonts w:ascii="宋体" w:hAnsi="宋体" w:hint="eastAsia"/>
          <w:b/>
          <w:bCs/>
          <w:iCs/>
          <w:color w:val="000000"/>
          <w:sz w:val="30"/>
          <w:szCs w:val="30"/>
        </w:rPr>
        <w:t>投资者关系活动记录表</w:t>
      </w:r>
    </w:p>
    <w:p w:rsidR="00A86B14" w:rsidRDefault="00A86B14" w:rsidP="005B2A29">
      <w:pPr>
        <w:spacing w:before="50" w:line="360" w:lineRule="auto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B64621">
        <w:rPr>
          <w:rFonts w:ascii="宋体" w:hAnsi="宋体" w:hint="eastAsia"/>
          <w:bCs/>
          <w:iCs/>
          <w:color w:val="000000"/>
          <w:sz w:val="24"/>
        </w:rPr>
        <w:t>201</w:t>
      </w:r>
      <w:r w:rsidR="00F8774E">
        <w:rPr>
          <w:rFonts w:ascii="宋体" w:hAnsi="宋体" w:hint="eastAsia"/>
          <w:bCs/>
          <w:iCs/>
          <w:color w:val="000000"/>
          <w:sz w:val="24"/>
        </w:rPr>
        <w:t>7</w:t>
      </w:r>
      <w:r>
        <w:rPr>
          <w:rFonts w:ascii="宋体" w:hAnsi="宋体" w:hint="eastAsia"/>
          <w:bCs/>
          <w:iCs/>
          <w:color w:val="000000"/>
          <w:sz w:val="24"/>
        </w:rPr>
        <w:t>-0</w:t>
      </w:r>
      <w:r w:rsidR="00030882">
        <w:rPr>
          <w:rFonts w:ascii="宋体" w:hAnsi="宋体" w:hint="eastAsia"/>
          <w:bCs/>
          <w:iCs/>
          <w:color w:val="000000"/>
          <w:sz w:val="24"/>
        </w:rPr>
        <w:t>0</w:t>
      </w:r>
      <w:r w:rsidR="002219B5">
        <w:rPr>
          <w:rFonts w:ascii="宋体" w:hAnsi="宋体" w:hint="eastAsia"/>
          <w:bCs/>
          <w:iCs/>
          <w:color w:val="000000"/>
          <w:sz w:val="24"/>
        </w:rPr>
        <w:t>3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951"/>
        <w:gridCol w:w="6571"/>
      </w:tblGrid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  <w:p w:rsidR="00A86B14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571" w:type="dxa"/>
          </w:tcPr>
          <w:p w:rsidR="00A86B14" w:rsidRPr="002E7E11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sym w:font="Wingdings 2" w:char="F052"/>
            </w:r>
            <w:r w:rsidRPr="002E7E11">
              <w:rPr>
                <w:rFonts w:ascii="宋体" w:hAnsi="宋体" w:hint="eastAsia"/>
                <w:sz w:val="24"/>
              </w:rPr>
              <w:t xml:space="preserve">特定对象调研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分析师会议</w:t>
            </w:r>
          </w:p>
          <w:p w:rsidR="00A86B14" w:rsidRPr="002E7E11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媒体采访  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业绩说明会</w:t>
            </w:r>
          </w:p>
          <w:p w:rsidR="00A86B14" w:rsidRPr="002E7E11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新闻发布会          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路演活动</w:t>
            </w:r>
          </w:p>
          <w:p w:rsidR="00A86B14" w:rsidRPr="002E7E11" w:rsidRDefault="00A86B14" w:rsidP="009C7231">
            <w:pPr>
              <w:tabs>
                <w:tab w:val="left" w:pos="3045"/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>现场参观</w:t>
            </w: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ab/>
            </w:r>
          </w:p>
          <w:p w:rsidR="00A86B14" w:rsidRDefault="00A86B14" w:rsidP="009C7231">
            <w:pPr>
              <w:tabs>
                <w:tab w:val="center" w:pos="3199"/>
              </w:tabs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2E7E11">
              <w:rPr>
                <w:rFonts w:ascii="宋体" w:hAnsi="宋体" w:hint="eastAsia"/>
                <w:bCs/>
                <w:iCs/>
                <w:color w:val="000000"/>
                <w:sz w:val="24"/>
              </w:rPr>
              <w:t>□</w:t>
            </w:r>
            <w:r w:rsidRPr="002E7E11">
              <w:rPr>
                <w:rFonts w:ascii="宋体" w:hAnsi="宋体" w:hint="eastAsia"/>
                <w:sz w:val="24"/>
              </w:rPr>
              <w:t xml:space="preserve">其他 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参与单位名称及人员姓名</w:t>
            </w:r>
          </w:p>
        </w:tc>
        <w:tc>
          <w:tcPr>
            <w:tcW w:w="6571" w:type="dxa"/>
          </w:tcPr>
          <w:p w:rsidR="00A86B14" w:rsidRPr="004019CF" w:rsidRDefault="002219B5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长城国瑞证券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有限公司：黄文忠（机械设备团队负责人）、胡晨曦（机械设备行业研究员）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571" w:type="dxa"/>
          </w:tcPr>
          <w:p w:rsidR="00A86B14" w:rsidRDefault="00870DF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8774E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C7231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9A6DFE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2219B5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日，</w:t>
            </w:r>
            <w:r w:rsidR="00B427E4">
              <w:rPr>
                <w:rFonts w:ascii="宋体" w:hAnsi="宋体" w:hint="eastAsia"/>
                <w:bCs/>
                <w:iCs/>
                <w:color w:val="000000"/>
                <w:sz w:val="24"/>
              </w:rPr>
              <w:t>上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午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8A415F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-</w:t>
            </w:r>
            <w:r w:rsidR="00CA5FA8">
              <w:rPr>
                <w:rFonts w:ascii="宋体" w:hAnsi="宋体" w:hint="eastAsia"/>
                <w:bCs/>
                <w:iCs/>
                <w:color w:val="000000"/>
                <w:sz w:val="24"/>
              </w:rPr>
              <w:t>1</w:t>
            </w:r>
            <w:r w:rsidR="002E5BD8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  <w:r w:rsidR="00C46492">
              <w:rPr>
                <w:rFonts w:ascii="宋体" w:hAnsi="宋体" w:hint="eastAsia"/>
                <w:bCs/>
                <w:iCs/>
                <w:color w:val="000000"/>
                <w:sz w:val="24"/>
              </w:rPr>
              <w:t>:</w:t>
            </w:r>
            <w:r w:rsidR="002E6CDF">
              <w:rPr>
                <w:rFonts w:ascii="宋体" w:hAnsi="宋体" w:hint="eastAsia"/>
                <w:bCs/>
                <w:iCs/>
                <w:color w:val="000000"/>
                <w:sz w:val="24"/>
              </w:rPr>
              <w:t>3</w:t>
            </w:r>
            <w:r w:rsidR="002219B5">
              <w:rPr>
                <w:rFonts w:ascii="宋体" w:hAnsi="宋体" w:hint="eastAsia"/>
                <w:bCs/>
                <w:iCs/>
                <w:color w:val="000000"/>
                <w:sz w:val="24"/>
              </w:rPr>
              <w:t>0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ind w:firstLineChars="200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地点</w:t>
            </w:r>
          </w:p>
        </w:tc>
        <w:tc>
          <w:tcPr>
            <w:tcW w:w="6571" w:type="dxa"/>
          </w:tcPr>
          <w:p w:rsidR="00A86B14" w:rsidRDefault="002E7E11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公司</w:t>
            </w:r>
            <w:r w:rsidR="00A36474">
              <w:rPr>
                <w:rFonts w:ascii="宋体" w:hAnsi="宋体" w:hint="eastAsia"/>
                <w:bCs/>
                <w:iCs/>
                <w:color w:val="000000"/>
                <w:sz w:val="24"/>
              </w:rPr>
              <w:t>会议室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571" w:type="dxa"/>
            <w:vAlign w:val="center"/>
          </w:tcPr>
          <w:p w:rsidR="00230098" w:rsidRDefault="00B4279C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董事会秘书：陈旭初</w:t>
            </w:r>
            <w:r w:rsidR="00251829">
              <w:rPr>
                <w:rFonts w:ascii="宋体" w:hAnsi="宋体" w:hint="eastAsia"/>
                <w:bCs/>
                <w:iCs/>
                <w:color w:val="000000"/>
                <w:sz w:val="24"/>
              </w:rPr>
              <w:t>；证券事务代表：葛明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</w:tc>
        <w:tc>
          <w:tcPr>
            <w:tcW w:w="6571" w:type="dxa"/>
          </w:tcPr>
          <w:p w:rsidR="00C74B60" w:rsidRPr="00745492" w:rsidRDefault="00314ACB" w:rsidP="009C723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1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请公司</w:t>
            </w:r>
            <w:r w:rsidR="001E677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简要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介绍下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公司主营业务</w:t>
            </w:r>
            <w:r w:rsidR="00C74B60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以及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</w:t>
            </w:r>
            <w:r w:rsidR="000B173B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</w:t>
            </w:r>
            <w:r w:rsidR="00457921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基本</w:t>
            </w:r>
            <w:r w:rsidR="00030882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情况</w:t>
            </w:r>
            <w:r w:rsidR="008262C8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457921" w:rsidRPr="00745492" w:rsidRDefault="00457921" w:rsidP="009C723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公司主营业务为全自动平衡机的研发、设计、生产和销售。</w:t>
            </w:r>
          </w:p>
          <w:p w:rsidR="000D5784" w:rsidRPr="00745492" w:rsidRDefault="00457921" w:rsidP="009C723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全自动平衡机主要用于回转零部件不平衡量的检测及自动修正。由于设计、材质不均匀以及制造安装等原因，回转零部件往往存在较大初始不平衡量。此类未经平衡的回转零部件在高速旋转时会产生周期性的激振力，引起振动和噪声，增加设备能耗，加快机械磨损，减少使用寿命，引发设备故障，甚至造成事故，因此必须进行动平衡，使其达到合格标准。</w:t>
            </w:r>
            <w:proofErr w:type="gramStart"/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平衡技术</w:t>
            </w:r>
            <w:proofErr w:type="gramEnd"/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及其相关设备在电机、电动工具、家用电器、</w:t>
            </w:r>
            <w:r w:rsidR="001B3DCF"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lastRenderedPageBreak/>
              <w:t>泵、风机、汽车、化工、高铁、电力、船舶和航空航天等行业领域得到广泛使用</w:t>
            </w:r>
            <w:r w:rsidR="001B3DCF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07263" w:rsidRPr="00745492" w:rsidRDefault="00A07263" w:rsidP="009C723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745492">
              <w:rPr>
                <w:rFonts w:asciiTheme="minorEastAsia" w:eastAsiaTheme="minorEastAsia" w:hAnsiTheme="minorEastAsia"/>
                <w:color w:val="000000"/>
                <w:sz w:val="24"/>
              </w:rPr>
              <w:t>2</w:t>
            </w:r>
            <w:r w:rsidR="00C5274F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、请简要介绍下公司行业</w:t>
            </w:r>
            <w:r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下游基本情况？</w:t>
            </w:r>
          </w:p>
          <w:p w:rsidR="00A07263" w:rsidRDefault="00C5274F" w:rsidP="009C7231">
            <w:pPr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全自动平衡机为高端智能设备，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下游主要是各类回转零部件生产企业，涵盖电机、电动工具、家用电器、泵、风机、汽车、化工、高铁、电力、船舶和航空航天等行业领域。</w:t>
            </w:r>
          </w:p>
          <w:p w:rsidR="00C904E3" w:rsidRDefault="00C904E3" w:rsidP="009C723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3</w:t>
            </w:r>
            <w:r w:rsidR="00ED0C3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、公司产品全自动平衡机</w:t>
            </w:r>
            <w:proofErr w:type="gramStart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最</w:t>
            </w:r>
            <w:proofErr w:type="gramEnd"/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核心部分在哪?</w:t>
            </w:r>
          </w:p>
          <w:p w:rsidR="003B2D60" w:rsidRPr="002E4344" w:rsidRDefault="002219B5" w:rsidP="009C7231">
            <w:pPr>
              <w:adjustRightInd w:val="0"/>
              <w:snapToGrid w:val="0"/>
              <w:spacing w:beforeLines="50" w:line="360" w:lineRule="auto"/>
              <w:ind w:firstLine="482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核心软件、计算机算法，</w:t>
            </w:r>
            <w:r w:rsidR="002E4344"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智能控制系统是全自动平衡机的大脑和灵魂。</w:t>
            </w:r>
          </w:p>
          <w:p w:rsidR="00C904E3" w:rsidRDefault="00C904E3" w:rsidP="009C723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4、</w:t>
            </w:r>
            <w:r w:rsidR="002219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公司产品在新能源汽车上能否应用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2E4344" w:rsidRDefault="008522B2" w:rsidP="009C723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 xml:space="preserve">   </w:t>
            </w:r>
            <w:r w:rsidR="00DE6D6A" w:rsidRPr="00DE6D6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新能源汽车的电枢、轮毂电机用平衡机，已经有客户在使用公司的产品，随着新能源汽车行业的快速发展，公司会根据市场需求提供更多的产品。</w:t>
            </w:r>
          </w:p>
          <w:p w:rsidR="00C904E3" w:rsidRDefault="00C904E3" w:rsidP="009C723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5、</w:t>
            </w:r>
            <w:r w:rsidR="002219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公司产品与国际市场</w:t>
            </w:r>
            <w:r w:rsidR="00701F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产品</w:t>
            </w:r>
            <w:r w:rsidR="00D95A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性能上</w:t>
            </w:r>
            <w:r w:rsidR="002219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是否</w:t>
            </w:r>
            <w:r w:rsidR="00701F6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存在较大</w:t>
            </w:r>
            <w:r w:rsidR="002219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差距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2E4344" w:rsidRPr="002E4344" w:rsidRDefault="002219B5" w:rsidP="009C7231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firstLineChars="200" w:firstLine="48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目前公司</w:t>
            </w:r>
            <w:r w:rsidR="007464A9">
              <w:rPr>
                <w:rFonts w:hint="eastAsia"/>
                <w:color w:val="000000"/>
                <w:sz w:val="24"/>
              </w:rPr>
              <w:t>生产的</w:t>
            </w:r>
            <w:r>
              <w:rPr>
                <w:rFonts w:hint="eastAsia"/>
                <w:color w:val="000000"/>
                <w:sz w:val="24"/>
              </w:rPr>
              <w:t>全自动平衡机在测试精度上与国际市场平衡机没有差距。</w:t>
            </w:r>
          </w:p>
          <w:p w:rsidR="00C904E3" w:rsidRDefault="00C904E3" w:rsidP="009C7231">
            <w:pPr>
              <w:adjustRightInd w:val="0"/>
              <w:snapToGrid w:val="0"/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6</w:t>
            </w:r>
            <w:r w:rsidR="001C23A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7061B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2219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公司是否有拓展海外市场的计划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?</w:t>
            </w:r>
          </w:p>
          <w:p w:rsidR="00027FC7" w:rsidRDefault="00FC2282" w:rsidP="009C7231">
            <w:pPr>
              <w:adjustRightInd w:val="0"/>
              <w:snapToGrid w:val="0"/>
              <w:spacing w:beforeLines="50" w:line="360" w:lineRule="auto"/>
              <w:ind w:firstLine="480"/>
              <w:rPr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2219B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公司已在印度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设立办事处，公司还将根据业务发展需要增加海外市场的拓展力度</w:t>
            </w:r>
            <w:r w:rsidR="002E4344">
              <w:rPr>
                <w:rFonts w:hint="eastAsia"/>
                <w:color w:val="000000"/>
                <w:sz w:val="24"/>
              </w:rPr>
              <w:t>。</w:t>
            </w:r>
          </w:p>
          <w:p w:rsidR="00027FC7" w:rsidRPr="00027FC7" w:rsidRDefault="00027FC7" w:rsidP="009C7231">
            <w:pPr>
              <w:adjustRightInd w:val="0"/>
              <w:snapToGrid w:val="0"/>
              <w:spacing w:beforeLines="50" w:line="360" w:lineRule="auto"/>
              <w:rPr>
                <w:color w:val="000000"/>
                <w:sz w:val="24"/>
              </w:rPr>
            </w:pPr>
            <w:r w:rsidRP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7、</w:t>
            </w:r>
            <w:r w:rsidR="000548EE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供应商原材料供应是否对公司形成一定制约</w:t>
            </w:r>
            <w:r w:rsidRP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？</w:t>
            </w:r>
          </w:p>
          <w:p w:rsidR="000548EE" w:rsidRPr="000548EE" w:rsidRDefault="000548EE" w:rsidP="009C7231">
            <w:pPr>
              <w:autoSpaceDE w:val="0"/>
              <w:autoSpaceDN w:val="0"/>
              <w:adjustRightInd w:val="0"/>
              <w:snapToGrid w:val="0"/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全自动平衡机大部分为非标类产品，</w:t>
            </w:r>
            <w:r w:rsidRPr="000548EE">
              <w:rPr>
                <w:rFonts w:asciiTheme="minorEastAsia" w:eastAsiaTheme="minorEastAsia" w:hAnsiTheme="minorEastAsia"/>
                <w:color w:val="000000"/>
                <w:sz w:val="24"/>
              </w:rPr>
              <w:t>对主要原材料的要求也不相同，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目前公司已</w:t>
            </w:r>
            <w:r w:rsidRPr="000548EE">
              <w:rPr>
                <w:rFonts w:asciiTheme="minorEastAsia" w:eastAsiaTheme="minorEastAsia" w:hAnsiTheme="minorEastAsia"/>
                <w:color w:val="000000"/>
                <w:sz w:val="24"/>
              </w:rPr>
              <w:t>根据</w:t>
            </w:r>
            <w:r w:rsidR="005B2A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业务</w:t>
            </w:r>
            <w:r w:rsidRPr="000548EE">
              <w:rPr>
                <w:rFonts w:asciiTheme="minorEastAsia" w:eastAsiaTheme="minorEastAsia" w:hAnsiTheme="minorEastAsia"/>
                <w:color w:val="000000"/>
                <w:sz w:val="24"/>
              </w:rPr>
              <w:t>需要及时对供应商进行调整，</w:t>
            </w:r>
            <w:r w:rsidR="005B2A29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尚不存在</w:t>
            </w:r>
            <w:r w:rsidRPr="000548EE">
              <w:rPr>
                <w:rFonts w:asciiTheme="minorEastAsia" w:eastAsiaTheme="minorEastAsia" w:hAnsiTheme="minorEastAsia"/>
                <w:color w:val="000000"/>
                <w:sz w:val="24"/>
              </w:rPr>
              <w:t>原材料采购的风险。</w:t>
            </w:r>
          </w:p>
          <w:p w:rsidR="00A07263" w:rsidRPr="00745492" w:rsidRDefault="00027FC7" w:rsidP="009C723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8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、目前公司主营业务单一，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是否有</w:t>
            </w:r>
            <w:r w:rsidR="008B3DDA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外延式</w:t>
            </w:r>
            <w:r w:rsidR="00C904E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的考虑？</w:t>
            </w:r>
          </w:p>
          <w:p w:rsidR="00A07263" w:rsidRDefault="000C2801" w:rsidP="009C723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</w:t>
            </w:r>
            <w:r w:rsidR="002E4344">
              <w:rPr>
                <w:rFonts w:asciiTheme="minorEastAsia" w:hAnsiTheme="minorEastAsia" w:hint="eastAsia"/>
                <w:sz w:val="24"/>
              </w:rPr>
              <w:t>公司现有资产、业务规模相对较小，产品线还不够</w:t>
            </w:r>
            <w:r w:rsidR="002E4344">
              <w:rPr>
                <w:rFonts w:asciiTheme="minorEastAsia" w:hAnsiTheme="minorEastAsia" w:hint="eastAsia"/>
                <w:sz w:val="24"/>
              </w:rPr>
              <w:lastRenderedPageBreak/>
              <w:t>丰富。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完全依托内生式增长是一条相对漫长的发展路径，目前公司已经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围绕现有的市场或技术领域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正在</w:t>
            </w:r>
            <w:r w:rsidR="00A07263" w:rsidRPr="0074549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做一些外延式</w:t>
            </w:r>
            <w:r w:rsidR="003B627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拓展</w:t>
            </w:r>
            <w:r w:rsidR="00027FC7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，具体内容可以查阅公司相关公告</w:t>
            </w:r>
            <w:r w:rsidR="00A07263" w:rsidRPr="00BC4AE5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FE4C82" w:rsidRDefault="00027FC7" w:rsidP="009C7231">
            <w:pPr>
              <w:spacing w:beforeLines="50" w:line="360" w:lineRule="auto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9</w:t>
            </w:r>
            <w:r w:rsidR="00FE4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</w:t>
            </w:r>
            <w:r w:rsidR="00DC0678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目前</w:t>
            </w:r>
            <w:r w:rsidR="00FE4C82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公司有何发展规划？</w:t>
            </w:r>
          </w:p>
          <w:p w:rsidR="003773DE" w:rsidRPr="00CA5FA8" w:rsidRDefault="00CA5FA8" w:rsidP="009C723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目前公司的发展规划是</w:t>
            </w:r>
            <w:r w:rsidRPr="00062658">
              <w:rPr>
                <w:rFonts w:asciiTheme="minorEastAsia" w:hAnsiTheme="minorEastAsia" w:hint="eastAsia"/>
                <w:sz w:val="24"/>
              </w:rPr>
              <w:t>在扎实做好主业的基础上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Pr="00062658">
              <w:rPr>
                <w:rFonts w:asciiTheme="minorEastAsia" w:hAnsiTheme="minorEastAsia"/>
                <w:sz w:val="24"/>
              </w:rPr>
              <w:t>向</w:t>
            </w:r>
            <w:r w:rsidRPr="00062658">
              <w:rPr>
                <w:rFonts w:asciiTheme="minorEastAsia" w:hAnsiTheme="minorEastAsia" w:hint="eastAsia"/>
                <w:sz w:val="24"/>
              </w:rPr>
              <w:t>高端智能制造领域</w:t>
            </w:r>
            <w:r w:rsidRPr="00062658">
              <w:rPr>
                <w:rFonts w:asciiTheme="minorEastAsia" w:hAnsiTheme="minorEastAsia"/>
                <w:sz w:val="24"/>
              </w:rPr>
              <w:t>拓展</w:t>
            </w:r>
            <w:r w:rsidRPr="00062658">
              <w:rPr>
                <w:rFonts w:asciiTheme="minorEastAsia" w:hAnsiTheme="minorEastAsia" w:hint="eastAsia"/>
                <w:sz w:val="24"/>
              </w:rPr>
              <w:t>、延伸</w:t>
            </w:r>
            <w:r>
              <w:rPr>
                <w:rFonts w:asciiTheme="minorEastAsia" w:hAnsiTheme="minorEastAsia" w:hint="eastAsia"/>
                <w:sz w:val="24"/>
              </w:rPr>
              <w:t>，</w:t>
            </w:r>
            <w:r w:rsidR="00C97C6A">
              <w:rPr>
                <w:rFonts w:asciiTheme="minorEastAsia" w:hAnsiTheme="minorEastAsia" w:hint="eastAsia"/>
                <w:color w:val="000000"/>
                <w:sz w:val="24"/>
              </w:rPr>
              <w:t>进一步丰富公司业务模块，</w:t>
            </w:r>
            <w:r w:rsidR="002219B5">
              <w:rPr>
                <w:rFonts w:asciiTheme="minorEastAsia" w:hAnsiTheme="minorEastAsia" w:hint="eastAsia"/>
                <w:color w:val="000000"/>
                <w:sz w:val="24"/>
              </w:rPr>
              <w:t>双轮驱动，</w:t>
            </w:r>
            <w:r w:rsidR="00C97C6A">
              <w:rPr>
                <w:rFonts w:asciiTheme="minorEastAsia" w:hAnsiTheme="minorEastAsia" w:hint="eastAsia"/>
                <w:color w:val="000000"/>
                <w:sz w:val="24"/>
              </w:rPr>
              <w:t>营造新的利润增长点</w:t>
            </w:r>
            <w:r w:rsidR="00DC0678">
              <w:rPr>
                <w:rFonts w:asciiTheme="minorEastAsia" w:hAnsiTheme="minorEastAsia" w:hint="eastAsia"/>
                <w:color w:val="000000"/>
                <w:sz w:val="24"/>
              </w:rPr>
              <w:t>。</w:t>
            </w:r>
          </w:p>
          <w:p w:rsidR="00983548" w:rsidRPr="00983548" w:rsidRDefault="00983548" w:rsidP="009C7231">
            <w:pPr>
              <w:spacing w:beforeLines="50" w:line="360" w:lineRule="auto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接待过程中，公司与</w:t>
            </w:r>
            <w:r w:rsidR="00A974D5"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上述人员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进行了充分的交流与沟通，并严格按照公司《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信息披露管理制度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》</w:t>
            </w:r>
            <w:r w:rsidRPr="002E4344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、《投资者接待管理制度》</w:t>
            </w:r>
            <w:r w:rsidRPr="002E4344">
              <w:rPr>
                <w:rFonts w:asciiTheme="minorEastAsia" w:eastAsiaTheme="minorEastAsia" w:hAnsiTheme="minorEastAsia"/>
                <w:color w:val="000000"/>
                <w:sz w:val="24"/>
              </w:rPr>
              <w:t>等规定，保证信息披露的真实、准确、完整、及时、公平。没有出现未公开重大信息泄露等情况。</w:t>
            </w: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571" w:type="dxa"/>
          </w:tcPr>
          <w:p w:rsidR="00A86B14" w:rsidRDefault="00A86B14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  <w:tr w:rsidR="00A86B14" w:rsidTr="00D50EFB">
        <w:tc>
          <w:tcPr>
            <w:tcW w:w="1951" w:type="dxa"/>
            <w:vAlign w:val="center"/>
          </w:tcPr>
          <w:p w:rsidR="00A86B14" w:rsidRDefault="00A86B14" w:rsidP="009C7231">
            <w:pPr>
              <w:spacing w:beforeLines="50" w:line="360" w:lineRule="auto"/>
              <w:ind w:firstLineChars="250" w:firstLine="60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571" w:type="dxa"/>
          </w:tcPr>
          <w:p w:rsidR="00A86B14" w:rsidRDefault="002E7E11" w:rsidP="009C7231">
            <w:pPr>
              <w:spacing w:beforeLines="5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201</w:t>
            </w:r>
            <w:r w:rsidR="00F316CA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年</w:t>
            </w:r>
            <w:r w:rsidR="009C7231">
              <w:rPr>
                <w:rFonts w:ascii="宋体" w:hAnsi="宋体" w:hint="eastAsia"/>
                <w:bCs/>
                <w:iCs/>
                <w:color w:val="000000"/>
                <w:sz w:val="24"/>
              </w:rPr>
              <w:t>9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月</w:t>
            </w:r>
            <w:r w:rsidR="00027FC7">
              <w:rPr>
                <w:rFonts w:ascii="宋体" w:hAnsi="宋体" w:hint="eastAsia"/>
                <w:bCs/>
                <w:iCs/>
                <w:color w:val="000000"/>
                <w:sz w:val="24"/>
              </w:rPr>
              <w:t>2</w:t>
            </w:r>
            <w:r w:rsidR="00701F6E">
              <w:rPr>
                <w:rFonts w:ascii="宋体" w:hAnsi="宋体" w:hint="eastAsia"/>
                <w:bCs/>
                <w:iCs/>
                <w:color w:val="000000"/>
                <w:sz w:val="24"/>
              </w:rPr>
              <w:t>7</w:t>
            </w:r>
            <w:r w:rsidR="002A3607">
              <w:rPr>
                <w:rFonts w:ascii="宋体" w:hAnsi="宋体"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 w:rsidR="00A86B14" w:rsidRDefault="00A86B14" w:rsidP="00646FB6">
      <w:pPr>
        <w:spacing w:beforeLines="50" w:line="360" w:lineRule="auto"/>
      </w:pPr>
    </w:p>
    <w:sectPr w:rsidR="00A86B14" w:rsidSect="0070602E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333" w:rsidRDefault="00FF6333" w:rsidP="0037042E">
      <w:r>
        <w:separator/>
      </w:r>
    </w:p>
  </w:endnote>
  <w:endnote w:type="continuationSeparator" w:id="0">
    <w:p w:rsidR="00FF6333" w:rsidRDefault="00FF6333" w:rsidP="00370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70583"/>
      <w:docPartObj>
        <w:docPartGallery w:val="Page Numbers (Bottom of Page)"/>
        <w:docPartUnique/>
      </w:docPartObj>
    </w:sdtPr>
    <w:sdtContent>
      <w:p w:rsidR="00125BC8" w:rsidRDefault="00646FB6">
        <w:pPr>
          <w:pStyle w:val="a5"/>
          <w:jc w:val="center"/>
        </w:pPr>
        <w:fldSimple w:instr=" PAGE   \* MERGEFORMAT ">
          <w:r w:rsidR="009C7231" w:rsidRPr="009C7231">
            <w:rPr>
              <w:noProof/>
              <w:lang w:val="zh-CN"/>
            </w:rPr>
            <w:t>3</w:t>
          </w:r>
        </w:fldSimple>
      </w:p>
    </w:sdtContent>
  </w:sdt>
  <w:p w:rsidR="00125BC8" w:rsidRDefault="00125B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333" w:rsidRDefault="00FF6333" w:rsidP="0037042E">
      <w:r>
        <w:separator/>
      </w:r>
    </w:p>
  </w:footnote>
  <w:footnote w:type="continuationSeparator" w:id="0">
    <w:p w:rsidR="00FF6333" w:rsidRDefault="00FF6333" w:rsidP="00370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C015D"/>
    <w:multiLevelType w:val="hybridMultilevel"/>
    <w:tmpl w:val="1906463C"/>
    <w:lvl w:ilvl="0" w:tplc="D7CC659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FA93E20"/>
    <w:multiLevelType w:val="hybridMultilevel"/>
    <w:tmpl w:val="EB607ABA"/>
    <w:lvl w:ilvl="0" w:tplc="D340C742">
      <w:start w:val="1"/>
      <w:numFmt w:val="japaneseCounting"/>
      <w:lvlText w:val="%1、"/>
      <w:lvlJc w:val="left"/>
      <w:pPr>
        <w:ind w:left="1395" w:hanging="915"/>
      </w:pPr>
      <w:rPr>
        <w:rFonts w:ascii="Times New Roman" w:hAnsi="楷体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68C04EDB"/>
    <w:multiLevelType w:val="hybridMultilevel"/>
    <w:tmpl w:val="5A140A30"/>
    <w:lvl w:ilvl="0" w:tplc="493C0384">
      <w:start w:val="1"/>
      <w:numFmt w:val="japaneseCounting"/>
      <w:lvlText w:val="第%1、"/>
      <w:lvlJc w:val="left"/>
      <w:pPr>
        <w:ind w:left="1575" w:hanging="10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75186943"/>
    <w:multiLevelType w:val="hybridMultilevel"/>
    <w:tmpl w:val="576C5B90"/>
    <w:lvl w:ilvl="0" w:tplc="B57270E4">
      <w:start w:val="1"/>
      <w:numFmt w:val="decimal"/>
      <w:lvlText w:val="%1、"/>
      <w:lvlJc w:val="left"/>
      <w:pPr>
        <w:ind w:left="1292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2" w:hanging="420"/>
      </w:pPr>
    </w:lvl>
    <w:lvl w:ilvl="2" w:tplc="0409001B" w:tentative="1">
      <w:start w:val="1"/>
      <w:numFmt w:val="lowerRoman"/>
      <w:lvlText w:val="%3."/>
      <w:lvlJc w:val="righ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9" w:tentative="1">
      <w:start w:val="1"/>
      <w:numFmt w:val="lowerLetter"/>
      <w:lvlText w:val="%5)"/>
      <w:lvlJc w:val="left"/>
      <w:pPr>
        <w:ind w:left="2582" w:hanging="420"/>
      </w:pPr>
    </w:lvl>
    <w:lvl w:ilvl="5" w:tplc="0409001B" w:tentative="1">
      <w:start w:val="1"/>
      <w:numFmt w:val="lowerRoman"/>
      <w:lvlText w:val="%6."/>
      <w:lvlJc w:val="righ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9" w:tentative="1">
      <w:start w:val="1"/>
      <w:numFmt w:val="lowerLetter"/>
      <w:lvlText w:val="%8)"/>
      <w:lvlJc w:val="left"/>
      <w:pPr>
        <w:ind w:left="3842" w:hanging="420"/>
      </w:pPr>
    </w:lvl>
    <w:lvl w:ilvl="8" w:tplc="0409001B" w:tentative="1">
      <w:start w:val="1"/>
      <w:numFmt w:val="lowerRoman"/>
      <w:lvlText w:val="%9."/>
      <w:lvlJc w:val="right"/>
      <w:pPr>
        <w:ind w:left="4262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6B14"/>
    <w:rsid w:val="00006C81"/>
    <w:rsid w:val="0000748A"/>
    <w:rsid w:val="00015C65"/>
    <w:rsid w:val="000169B5"/>
    <w:rsid w:val="000176C7"/>
    <w:rsid w:val="00020830"/>
    <w:rsid w:val="00020BD7"/>
    <w:rsid w:val="000216E1"/>
    <w:rsid w:val="00021A69"/>
    <w:rsid w:val="00025B61"/>
    <w:rsid w:val="00027FC7"/>
    <w:rsid w:val="00030882"/>
    <w:rsid w:val="0003163C"/>
    <w:rsid w:val="00031EE7"/>
    <w:rsid w:val="00040C13"/>
    <w:rsid w:val="00043CAB"/>
    <w:rsid w:val="0005340C"/>
    <w:rsid w:val="0005452C"/>
    <w:rsid w:val="000548EE"/>
    <w:rsid w:val="00062A9C"/>
    <w:rsid w:val="00064F23"/>
    <w:rsid w:val="0006726F"/>
    <w:rsid w:val="000759AF"/>
    <w:rsid w:val="00081A19"/>
    <w:rsid w:val="00085AA8"/>
    <w:rsid w:val="0008634C"/>
    <w:rsid w:val="00086B98"/>
    <w:rsid w:val="000A2371"/>
    <w:rsid w:val="000B173B"/>
    <w:rsid w:val="000B6109"/>
    <w:rsid w:val="000C2801"/>
    <w:rsid w:val="000D4F29"/>
    <w:rsid w:val="000D5784"/>
    <w:rsid w:val="000E5026"/>
    <w:rsid w:val="000E5D88"/>
    <w:rsid w:val="000F330E"/>
    <w:rsid w:val="00107303"/>
    <w:rsid w:val="00120E70"/>
    <w:rsid w:val="00124080"/>
    <w:rsid w:val="00125BC8"/>
    <w:rsid w:val="00126057"/>
    <w:rsid w:val="00126DB1"/>
    <w:rsid w:val="00127406"/>
    <w:rsid w:val="00130FD2"/>
    <w:rsid w:val="001336E8"/>
    <w:rsid w:val="0013461E"/>
    <w:rsid w:val="001540F3"/>
    <w:rsid w:val="00160940"/>
    <w:rsid w:val="00170B5E"/>
    <w:rsid w:val="0018297D"/>
    <w:rsid w:val="001B0A6D"/>
    <w:rsid w:val="001B3DCF"/>
    <w:rsid w:val="001C23A9"/>
    <w:rsid w:val="001C77E1"/>
    <w:rsid w:val="001D54D8"/>
    <w:rsid w:val="001D5792"/>
    <w:rsid w:val="001E42E1"/>
    <w:rsid w:val="001E6773"/>
    <w:rsid w:val="001E7681"/>
    <w:rsid w:val="001F07BF"/>
    <w:rsid w:val="001F1AE7"/>
    <w:rsid w:val="001F2EAE"/>
    <w:rsid w:val="001F3278"/>
    <w:rsid w:val="001F7469"/>
    <w:rsid w:val="00201177"/>
    <w:rsid w:val="002061A3"/>
    <w:rsid w:val="0021710A"/>
    <w:rsid w:val="002219B5"/>
    <w:rsid w:val="00222210"/>
    <w:rsid w:val="00230098"/>
    <w:rsid w:val="00234730"/>
    <w:rsid w:val="00237EEC"/>
    <w:rsid w:val="00243CC5"/>
    <w:rsid w:val="00251829"/>
    <w:rsid w:val="00251948"/>
    <w:rsid w:val="00254A25"/>
    <w:rsid w:val="002639F8"/>
    <w:rsid w:val="00264133"/>
    <w:rsid w:val="00276A9B"/>
    <w:rsid w:val="00283776"/>
    <w:rsid w:val="00295ADB"/>
    <w:rsid w:val="002A3607"/>
    <w:rsid w:val="002B19F6"/>
    <w:rsid w:val="002B64DF"/>
    <w:rsid w:val="002B69DF"/>
    <w:rsid w:val="002B7994"/>
    <w:rsid w:val="002C17C6"/>
    <w:rsid w:val="002C6819"/>
    <w:rsid w:val="002C6D07"/>
    <w:rsid w:val="002D1441"/>
    <w:rsid w:val="002D4306"/>
    <w:rsid w:val="002D5281"/>
    <w:rsid w:val="002D5991"/>
    <w:rsid w:val="002E385E"/>
    <w:rsid w:val="002E4344"/>
    <w:rsid w:val="002E5BD8"/>
    <w:rsid w:val="002E6CDF"/>
    <w:rsid w:val="002E72AD"/>
    <w:rsid w:val="002E7E11"/>
    <w:rsid w:val="002F448C"/>
    <w:rsid w:val="00312DFA"/>
    <w:rsid w:val="00314ACB"/>
    <w:rsid w:val="0031637C"/>
    <w:rsid w:val="00321606"/>
    <w:rsid w:val="003244AC"/>
    <w:rsid w:val="0034476A"/>
    <w:rsid w:val="0034507C"/>
    <w:rsid w:val="00351A02"/>
    <w:rsid w:val="003542AD"/>
    <w:rsid w:val="00357881"/>
    <w:rsid w:val="00360857"/>
    <w:rsid w:val="00360C4B"/>
    <w:rsid w:val="0037042E"/>
    <w:rsid w:val="003773DE"/>
    <w:rsid w:val="003778BA"/>
    <w:rsid w:val="00384382"/>
    <w:rsid w:val="00385932"/>
    <w:rsid w:val="00393734"/>
    <w:rsid w:val="003B2D60"/>
    <w:rsid w:val="003B5CB3"/>
    <w:rsid w:val="003B6277"/>
    <w:rsid w:val="003C36E3"/>
    <w:rsid w:val="003C610F"/>
    <w:rsid w:val="003D0B2D"/>
    <w:rsid w:val="003D1134"/>
    <w:rsid w:val="003D146B"/>
    <w:rsid w:val="003D217B"/>
    <w:rsid w:val="003D3A50"/>
    <w:rsid w:val="003E1165"/>
    <w:rsid w:val="003F3AB8"/>
    <w:rsid w:val="003F4FBA"/>
    <w:rsid w:val="003F5949"/>
    <w:rsid w:val="004019CF"/>
    <w:rsid w:val="00406101"/>
    <w:rsid w:val="00406CF1"/>
    <w:rsid w:val="00420B2E"/>
    <w:rsid w:val="00421DD7"/>
    <w:rsid w:val="004244A6"/>
    <w:rsid w:val="0043473F"/>
    <w:rsid w:val="00436B39"/>
    <w:rsid w:val="00436F44"/>
    <w:rsid w:val="00441331"/>
    <w:rsid w:val="004471C6"/>
    <w:rsid w:val="00457921"/>
    <w:rsid w:val="00476026"/>
    <w:rsid w:val="004860A0"/>
    <w:rsid w:val="004924FF"/>
    <w:rsid w:val="00496FA9"/>
    <w:rsid w:val="0049727B"/>
    <w:rsid w:val="004A36C7"/>
    <w:rsid w:val="004A37B6"/>
    <w:rsid w:val="004A7BA7"/>
    <w:rsid w:val="004B26DA"/>
    <w:rsid w:val="004B28D0"/>
    <w:rsid w:val="004C0A1E"/>
    <w:rsid w:val="004C3524"/>
    <w:rsid w:val="004C473E"/>
    <w:rsid w:val="004D30C4"/>
    <w:rsid w:val="004D50D6"/>
    <w:rsid w:val="004D74A5"/>
    <w:rsid w:val="004E30A1"/>
    <w:rsid w:val="004F30BF"/>
    <w:rsid w:val="005006F6"/>
    <w:rsid w:val="0050581D"/>
    <w:rsid w:val="00505F88"/>
    <w:rsid w:val="00506AE9"/>
    <w:rsid w:val="00511E9A"/>
    <w:rsid w:val="005130DC"/>
    <w:rsid w:val="00516480"/>
    <w:rsid w:val="005175B4"/>
    <w:rsid w:val="00522631"/>
    <w:rsid w:val="00523639"/>
    <w:rsid w:val="005264B8"/>
    <w:rsid w:val="00527AD8"/>
    <w:rsid w:val="00534D45"/>
    <w:rsid w:val="0054034F"/>
    <w:rsid w:val="00542BD0"/>
    <w:rsid w:val="005431BF"/>
    <w:rsid w:val="00546D87"/>
    <w:rsid w:val="00551D3B"/>
    <w:rsid w:val="00556485"/>
    <w:rsid w:val="005612D3"/>
    <w:rsid w:val="005622A7"/>
    <w:rsid w:val="005643B1"/>
    <w:rsid w:val="0056488F"/>
    <w:rsid w:val="00577A4B"/>
    <w:rsid w:val="00585831"/>
    <w:rsid w:val="00587DF9"/>
    <w:rsid w:val="005A0434"/>
    <w:rsid w:val="005A0E18"/>
    <w:rsid w:val="005A381A"/>
    <w:rsid w:val="005A46CF"/>
    <w:rsid w:val="005A7F55"/>
    <w:rsid w:val="005B2A29"/>
    <w:rsid w:val="005B52A7"/>
    <w:rsid w:val="005C4DA5"/>
    <w:rsid w:val="005C7D97"/>
    <w:rsid w:val="005E42E6"/>
    <w:rsid w:val="005E54B0"/>
    <w:rsid w:val="005F2D55"/>
    <w:rsid w:val="00623549"/>
    <w:rsid w:val="00623E4F"/>
    <w:rsid w:val="006335C2"/>
    <w:rsid w:val="00642F64"/>
    <w:rsid w:val="00643780"/>
    <w:rsid w:val="00646FB6"/>
    <w:rsid w:val="0065231E"/>
    <w:rsid w:val="00661370"/>
    <w:rsid w:val="006744F8"/>
    <w:rsid w:val="0067549B"/>
    <w:rsid w:val="00675F14"/>
    <w:rsid w:val="006824A8"/>
    <w:rsid w:val="00685633"/>
    <w:rsid w:val="006973C1"/>
    <w:rsid w:val="006A186C"/>
    <w:rsid w:val="006A389A"/>
    <w:rsid w:val="006A73E2"/>
    <w:rsid w:val="006A7F06"/>
    <w:rsid w:val="006B068F"/>
    <w:rsid w:val="006B1888"/>
    <w:rsid w:val="006B3303"/>
    <w:rsid w:val="006B62AD"/>
    <w:rsid w:val="006C6600"/>
    <w:rsid w:val="006D0227"/>
    <w:rsid w:val="006D747F"/>
    <w:rsid w:val="006E1D7D"/>
    <w:rsid w:val="006E5709"/>
    <w:rsid w:val="006E58EA"/>
    <w:rsid w:val="00701F6E"/>
    <w:rsid w:val="0070602E"/>
    <w:rsid w:val="007061BE"/>
    <w:rsid w:val="0070659D"/>
    <w:rsid w:val="007133B7"/>
    <w:rsid w:val="00715E1F"/>
    <w:rsid w:val="00745492"/>
    <w:rsid w:val="00745E69"/>
    <w:rsid w:val="007464A9"/>
    <w:rsid w:val="00753210"/>
    <w:rsid w:val="0075341A"/>
    <w:rsid w:val="00755550"/>
    <w:rsid w:val="00763E8D"/>
    <w:rsid w:val="00764E30"/>
    <w:rsid w:val="00767611"/>
    <w:rsid w:val="00772EC8"/>
    <w:rsid w:val="0077494A"/>
    <w:rsid w:val="00774A69"/>
    <w:rsid w:val="007779A6"/>
    <w:rsid w:val="00780788"/>
    <w:rsid w:val="00792FB5"/>
    <w:rsid w:val="007A2B28"/>
    <w:rsid w:val="007B3048"/>
    <w:rsid w:val="007B6641"/>
    <w:rsid w:val="007B6A05"/>
    <w:rsid w:val="007B752C"/>
    <w:rsid w:val="007C3826"/>
    <w:rsid w:val="007D2323"/>
    <w:rsid w:val="007D6380"/>
    <w:rsid w:val="007E3098"/>
    <w:rsid w:val="007E567B"/>
    <w:rsid w:val="007E762B"/>
    <w:rsid w:val="007F5F18"/>
    <w:rsid w:val="00800108"/>
    <w:rsid w:val="00805F95"/>
    <w:rsid w:val="008128C5"/>
    <w:rsid w:val="00821E08"/>
    <w:rsid w:val="00821EB9"/>
    <w:rsid w:val="00825993"/>
    <w:rsid w:val="008262C8"/>
    <w:rsid w:val="0083490D"/>
    <w:rsid w:val="00836D35"/>
    <w:rsid w:val="008522B2"/>
    <w:rsid w:val="008529B7"/>
    <w:rsid w:val="00855137"/>
    <w:rsid w:val="00855390"/>
    <w:rsid w:val="0085542D"/>
    <w:rsid w:val="00870DF4"/>
    <w:rsid w:val="008740CA"/>
    <w:rsid w:val="00875CB7"/>
    <w:rsid w:val="00884BF0"/>
    <w:rsid w:val="0089308E"/>
    <w:rsid w:val="008940E9"/>
    <w:rsid w:val="008A415F"/>
    <w:rsid w:val="008A4F5E"/>
    <w:rsid w:val="008B117F"/>
    <w:rsid w:val="008B2A36"/>
    <w:rsid w:val="008B3DDA"/>
    <w:rsid w:val="008B6495"/>
    <w:rsid w:val="008B67ED"/>
    <w:rsid w:val="008B6B68"/>
    <w:rsid w:val="008C218B"/>
    <w:rsid w:val="008C2F83"/>
    <w:rsid w:val="008C71A3"/>
    <w:rsid w:val="008E6E92"/>
    <w:rsid w:val="008F14E9"/>
    <w:rsid w:val="0090241B"/>
    <w:rsid w:val="0091290E"/>
    <w:rsid w:val="009309A6"/>
    <w:rsid w:val="00934C90"/>
    <w:rsid w:val="009432CA"/>
    <w:rsid w:val="00944A0B"/>
    <w:rsid w:val="00946B89"/>
    <w:rsid w:val="0095302D"/>
    <w:rsid w:val="0095398B"/>
    <w:rsid w:val="00962860"/>
    <w:rsid w:val="00967267"/>
    <w:rsid w:val="00971D82"/>
    <w:rsid w:val="00972678"/>
    <w:rsid w:val="00975D0A"/>
    <w:rsid w:val="009771F8"/>
    <w:rsid w:val="00977EC9"/>
    <w:rsid w:val="009822FE"/>
    <w:rsid w:val="00983548"/>
    <w:rsid w:val="009905CB"/>
    <w:rsid w:val="0099158D"/>
    <w:rsid w:val="00994D42"/>
    <w:rsid w:val="00995BCF"/>
    <w:rsid w:val="009A38EA"/>
    <w:rsid w:val="009A538C"/>
    <w:rsid w:val="009A6DFE"/>
    <w:rsid w:val="009B1250"/>
    <w:rsid w:val="009B4F8E"/>
    <w:rsid w:val="009B6640"/>
    <w:rsid w:val="009B71BC"/>
    <w:rsid w:val="009C0F23"/>
    <w:rsid w:val="009C1B3E"/>
    <w:rsid w:val="009C30A2"/>
    <w:rsid w:val="009C47FA"/>
    <w:rsid w:val="009C65F3"/>
    <w:rsid w:val="009C7231"/>
    <w:rsid w:val="009C761C"/>
    <w:rsid w:val="009D2624"/>
    <w:rsid w:val="009D2AF2"/>
    <w:rsid w:val="009E786D"/>
    <w:rsid w:val="00A07263"/>
    <w:rsid w:val="00A11195"/>
    <w:rsid w:val="00A16954"/>
    <w:rsid w:val="00A24A73"/>
    <w:rsid w:val="00A26BCC"/>
    <w:rsid w:val="00A3452E"/>
    <w:rsid w:val="00A36474"/>
    <w:rsid w:val="00A44D40"/>
    <w:rsid w:val="00A46000"/>
    <w:rsid w:val="00A5606F"/>
    <w:rsid w:val="00A56FC5"/>
    <w:rsid w:val="00A66580"/>
    <w:rsid w:val="00A7372E"/>
    <w:rsid w:val="00A74C08"/>
    <w:rsid w:val="00A75241"/>
    <w:rsid w:val="00A818A0"/>
    <w:rsid w:val="00A82325"/>
    <w:rsid w:val="00A83FC0"/>
    <w:rsid w:val="00A86684"/>
    <w:rsid w:val="00A86B14"/>
    <w:rsid w:val="00A9145B"/>
    <w:rsid w:val="00A954BB"/>
    <w:rsid w:val="00A972D0"/>
    <w:rsid w:val="00A974D5"/>
    <w:rsid w:val="00AA63ED"/>
    <w:rsid w:val="00AC6804"/>
    <w:rsid w:val="00AC77E8"/>
    <w:rsid w:val="00B059DB"/>
    <w:rsid w:val="00B2154D"/>
    <w:rsid w:val="00B2311E"/>
    <w:rsid w:val="00B4279C"/>
    <w:rsid w:val="00B427E4"/>
    <w:rsid w:val="00B434A7"/>
    <w:rsid w:val="00B4442B"/>
    <w:rsid w:val="00B630AE"/>
    <w:rsid w:val="00B64621"/>
    <w:rsid w:val="00B6775A"/>
    <w:rsid w:val="00B8345A"/>
    <w:rsid w:val="00B94219"/>
    <w:rsid w:val="00B97DE3"/>
    <w:rsid w:val="00BA5098"/>
    <w:rsid w:val="00BB2263"/>
    <w:rsid w:val="00BC0EEB"/>
    <w:rsid w:val="00BC17FC"/>
    <w:rsid w:val="00BC2478"/>
    <w:rsid w:val="00BC4925"/>
    <w:rsid w:val="00BC4AE5"/>
    <w:rsid w:val="00BC62EF"/>
    <w:rsid w:val="00BD001B"/>
    <w:rsid w:val="00BD1B30"/>
    <w:rsid w:val="00BE18C4"/>
    <w:rsid w:val="00BE2CFD"/>
    <w:rsid w:val="00BF20F7"/>
    <w:rsid w:val="00BF7091"/>
    <w:rsid w:val="00C041A1"/>
    <w:rsid w:val="00C1309D"/>
    <w:rsid w:val="00C14DBD"/>
    <w:rsid w:val="00C169F6"/>
    <w:rsid w:val="00C20C2B"/>
    <w:rsid w:val="00C21FCC"/>
    <w:rsid w:val="00C32FAB"/>
    <w:rsid w:val="00C44031"/>
    <w:rsid w:val="00C45ECA"/>
    <w:rsid w:val="00C46492"/>
    <w:rsid w:val="00C5274F"/>
    <w:rsid w:val="00C551AA"/>
    <w:rsid w:val="00C55495"/>
    <w:rsid w:val="00C5706A"/>
    <w:rsid w:val="00C6122F"/>
    <w:rsid w:val="00C66AE0"/>
    <w:rsid w:val="00C6793A"/>
    <w:rsid w:val="00C71B39"/>
    <w:rsid w:val="00C74B60"/>
    <w:rsid w:val="00C846DB"/>
    <w:rsid w:val="00C904E3"/>
    <w:rsid w:val="00C963F0"/>
    <w:rsid w:val="00C97C6A"/>
    <w:rsid w:val="00CA5FA8"/>
    <w:rsid w:val="00CB0C8B"/>
    <w:rsid w:val="00CC1803"/>
    <w:rsid w:val="00CF42EB"/>
    <w:rsid w:val="00CF5B36"/>
    <w:rsid w:val="00CF7A41"/>
    <w:rsid w:val="00D00ECE"/>
    <w:rsid w:val="00D03637"/>
    <w:rsid w:val="00D0431F"/>
    <w:rsid w:val="00D0693C"/>
    <w:rsid w:val="00D10553"/>
    <w:rsid w:val="00D13843"/>
    <w:rsid w:val="00D139ED"/>
    <w:rsid w:val="00D16260"/>
    <w:rsid w:val="00D25B96"/>
    <w:rsid w:val="00D418AD"/>
    <w:rsid w:val="00D50EFB"/>
    <w:rsid w:val="00D62949"/>
    <w:rsid w:val="00D64E62"/>
    <w:rsid w:val="00D7693C"/>
    <w:rsid w:val="00D92F04"/>
    <w:rsid w:val="00D95A83"/>
    <w:rsid w:val="00DA0FFD"/>
    <w:rsid w:val="00DA1000"/>
    <w:rsid w:val="00DB2B76"/>
    <w:rsid w:val="00DB3D82"/>
    <w:rsid w:val="00DB4784"/>
    <w:rsid w:val="00DB575A"/>
    <w:rsid w:val="00DC0678"/>
    <w:rsid w:val="00DC1921"/>
    <w:rsid w:val="00DC78CA"/>
    <w:rsid w:val="00DE4653"/>
    <w:rsid w:val="00DE5D9C"/>
    <w:rsid w:val="00DE6D6A"/>
    <w:rsid w:val="00DF2359"/>
    <w:rsid w:val="00E01B6C"/>
    <w:rsid w:val="00E020BB"/>
    <w:rsid w:val="00E03E2C"/>
    <w:rsid w:val="00E11B2A"/>
    <w:rsid w:val="00E125C8"/>
    <w:rsid w:val="00E246BA"/>
    <w:rsid w:val="00E25249"/>
    <w:rsid w:val="00E27D29"/>
    <w:rsid w:val="00E301AB"/>
    <w:rsid w:val="00E30B62"/>
    <w:rsid w:val="00E31212"/>
    <w:rsid w:val="00E36727"/>
    <w:rsid w:val="00E41169"/>
    <w:rsid w:val="00E4189E"/>
    <w:rsid w:val="00E43834"/>
    <w:rsid w:val="00E460D0"/>
    <w:rsid w:val="00E51096"/>
    <w:rsid w:val="00E5629E"/>
    <w:rsid w:val="00E60FCF"/>
    <w:rsid w:val="00E87852"/>
    <w:rsid w:val="00E945F9"/>
    <w:rsid w:val="00E972B7"/>
    <w:rsid w:val="00E9793B"/>
    <w:rsid w:val="00EA3106"/>
    <w:rsid w:val="00EB13E3"/>
    <w:rsid w:val="00EB7B10"/>
    <w:rsid w:val="00EC0A68"/>
    <w:rsid w:val="00EC6418"/>
    <w:rsid w:val="00ED00D2"/>
    <w:rsid w:val="00ED0C35"/>
    <w:rsid w:val="00ED5488"/>
    <w:rsid w:val="00ED6EF2"/>
    <w:rsid w:val="00EE079D"/>
    <w:rsid w:val="00EE2833"/>
    <w:rsid w:val="00EE7CC7"/>
    <w:rsid w:val="00EF22E8"/>
    <w:rsid w:val="00EF3C6B"/>
    <w:rsid w:val="00EF59F2"/>
    <w:rsid w:val="00F17108"/>
    <w:rsid w:val="00F213D4"/>
    <w:rsid w:val="00F23CC2"/>
    <w:rsid w:val="00F27DAA"/>
    <w:rsid w:val="00F316CA"/>
    <w:rsid w:val="00F350CA"/>
    <w:rsid w:val="00F36CE5"/>
    <w:rsid w:val="00F44E5E"/>
    <w:rsid w:val="00F45F84"/>
    <w:rsid w:val="00F46289"/>
    <w:rsid w:val="00F477C9"/>
    <w:rsid w:val="00F5087B"/>
    <w:rsid w:val="00F648A9"/>
    <w:rsid w:val="00F73ED6"/>
    <w:rsid w:val="00F8051A"/>
    <w:rsid w:val="00F82663"/>
    <w:rsid w:val="00F8774E"/>
    <w:rsid w:val="00F91260"/>
    <w:rsid w:val="00F945A0"/>
    <w:rsid w:val="00FB10B5"/>
    <w:rsid w:val="00FC0391"/>
    <w:rsid w:val="00FC0794"/>
    <w:rsid w:val="00FC2282"/>
    <w:rsid w:val="00FC73E1"/>
    <w:rsid w:val="00FD5134"/>
    <w:rsid w:val="00FE0535"/>
    <w:rsid w:val="00FE05EC"/>
    <w:rsid w:val="00FE4C82"/>
    <w:rsid w:val="00FE6B5D"/>
    <w:rsid w:val="00FF20F6"/>
    <w:rsid w:val="00FF4DF6"/>
    <w:rsid w:val="00FF6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B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830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0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042E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70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704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1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2D85C-6E3A-4419-9BD2-775F4C770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1185</TotalTime>
  <Pages>3</Pages>
  <Words>210</Words>
  <Characters>1197</Characters>
  <Application>Microsoft Office Word</Application>
  <DocSecurity>0</DocSecurity>
  <Lines>9</Lines>
  <Paragraphs>2</Paragraphs>
  <ScaleCrop>false</ScaleCrop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zxb</dc:creator>
  <cp:lastModifiedBy>葛明</cp:lastModifiedBy>
  <cp:revision>312</cp:revision>
  <dcterms:created xsi:type="dcterms:W3CDTF">2014-11-03T06:02:00Z</dcterms:created>
  <dcterms:modified xsi:type="dcterms:W3CDTF">2017-09-27T06:26:00Z</dcterms:modified>
</cp:coreProperties>
</file>