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C82B76">
        <w:tc>
          <w:tcPr>
            <w:tcW w:w="4261" w:type="dxa"/>
          </w:tcPr>
          <w:p w:rsidR="00C82B76" w:rsidRDefault="00147071">
            <w:pPr>
              <w:spacing w:beforeLines="50" w:before="156" w:afterLines="50" w:after="156" w:line="400" w:lineRule="exact"/>
              <w:rPr>
                <w:rFonts w:asciiTheme="minorEastAsia" w:eastAsiaTheme="minorEastAsia" w:hAnsiTheme="minorEastAsia"/>
                <w:bCs/>
                <w:iCs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iCs/>
                <w:sz w:val="24"/>
              </w:rPr>
              <w:t>证券代码</w:t>
            </w:r>
            <w:r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：</w:t>
            </w:r>
            <w:r>
              <w:rPr>
                <w:rFonts w:asciiTheme="minorEastAsia" w:eastAsiaTheme="minorEastAsia" w:hAnsiTheme="minorEastAsia"/>
                <w:bCs/>
                <w:iCs/>
                <w:sz w:val="24"/>
              </w:rPr>
              <w:t>002714</w:t>
            </w:r>
          </w:p>
        </w:tc>
        <w:tc>
          <w:tcPr>
            <w:tcW w:w="4261" w:type="dxa"/>
          </w:tcPr>
          <w:p w:rsidR="00C82B76" w:rsidRDefault="00147071">
            <w:pPr>
              <w:spacing w:beforeLines="50" w:before="156" w:afterLines="50" w:after="156" w:line="400" w:lineRule="exact"/>
              <w:jc w:val="right"/>
              <w:rPr>
                <w:rFonts w:asciiTheme="minorEastAsia" w:eastAsiaTheme="minorEastAsia" w:hAnsiTheme="minorEastAsia"/>
                <w:bCs/>
                <w:iCs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iCs/>
                <w:sz w:val="24"/>
              </w:rPr>
              <w:t>证券简称：</w:t>
            </w:r>
            <w:proofErr w:type="gramStart"/>
            <w:r>
              <w:rPr>
                <w:rFonts w:asciiTheme="minorEastAsia" w:eastAsiaTheme="minorEastAsia" w:hAnsiTheme="minorEastAsia"/>
                <w:bCs/>
                <w:iCs/>
                <w:sz w:val="24"/>
              </w:rPr>
              <w:t>牧原股份</w:t>
            </w:r>
            <w:proofErr w:type="gramEnd"/>
          </w:p>
        </w:tc>
      </w:tr>
    </w:tbl>
    <w:p w:rsidR="00C82B76" w:rsidRDefault="00C82B76">
      <w:pPr>
        <w:spacing w:beforeLines="50" w:before="156" w:afterLines="50" w:after="156" w:line="400" w:lineRule="exact"/>
        <w:rPr>
          <w:rFonts w:asciiTheme="minorEastAsia" w:eastAsiaTheme="minorEastAsia" w:hAnsiTheme="minorEastAsia"/>
          <w:bCs/>
          <w:iCs/>
          <w:sz w:val="24"/>
        </w:rPr>
      </w:pPr>
    </w:p>
    <w:p w:rsidR="00C82B76" w:rsidRDefault="00147071">
      <w:pPr>
        <w:spacing w:beforeLines="50" w:before="156" w:afterLines="50" w:after="156" w:line="400" w:lineRule="exact"/>
        <w:jc w:val="center"/>
        <w:rPr>
          <w:rFonts w:asciiTheme="minorEastAsia" w:eastAsiaTheme="minorEastAsia" w:hAnsiTheme="minorEastAsia"/>
          <w:b/>
          <w:bCs/>
          <w:iCs/>
          <w:sz w:val="36"/>
          <w:szCs w:val="24"/>
        </w:rPr>
      </w:pPr>
      <w:proofErr w:type="gramStart"/>
      <w:r>
        <w:rPr>
          <w:rFonts w:asciiTheme="minorEastAsia" w:eastAsiaTheme="minorEastAsia" w:hAnsiTheme="minorEastAsia"/>
          <w:b/>
          <w:bCs/>
          <w:iCs/>
          <w:sz w:val="36"/>
          <w:szCs w:val="24"/>
        </w:rPr>
        <w:t>牧原食品</w:t>
      </w:r>
      <w:proofErr w:type="gramEnd"/>
      <w:r>
        <w:rPr>
          <w:rFonts w:asciiTheme="minorEastAsia" w:eastAsiaTheme="minorEastAsia" w:hAnsiTheme="minorEastAsia"/>
          <w:b/>
          <w:bCs/>
          <w:iCs/>
          <w:sz w:val="36"/>
          <w:szCs w:val="24"/>
        </w:rPr>
        <w:t>股份有限公司</w:t>
      </w:r>
    </w:p>
    <w:p w:rsidR="00C82B76" w:rsidRDefault="00147071">
      <w:pPr>
        <w:spacing w:beforeLines="50" w:before="156" w:afterLines="50" w:after="156" w:line="400" w:lineRule="exact"/>
        <w:jc w:val="center"/>
        <w:rPr>
          <w:rFonts w:asciiTheme="minorEastAsia" w:eastAsiaTheme="minorEastAsia" w:hAnsiTheme="minorEastAsia"/>
          <w:b/>
          <w:bCs/>
          <w:iCs/>
          <w:sz w:val="36"/>
          <w:szCs w:val="24"/>
        </w:rPr>
      </w:pPr>
      <w:r>
        <w:rPr>
          <w:rFonts w:asciiTheme="minorEastAsia" w:eastAsiaTheme="minorEastAsia" w:hAnsiTheme="minorEastAsia"/>
          <w:b/>
          <w:bCs/>
          <w:iCs/>
          <w:sz w:val="36"/>
          <w:szCs w:val="24"/>
        </w:rPr>
        <w:t>投资者关系活动记录表</w:t>
      </w:r>
    </w:p>
    <w:p w:rsidR="00C82B76" w:rsidRDefault="00147071">
      <w:pPr>
        <w:spacing w:line="400" w:lineRule="exact"/>
        <w:jc w:val="right"/>
        <w:rPr>
          <w:rFonts w:asciiTheme="minorEastAsia" w:eastAsiaTheme="minorEastAsia" w:hAnsiTheme="minorEastAsia"/>
          <w:bCs/>
          <w:iCs/>
          <w:sz w:val="24"/>
          <w:szCs w:val="24"/>
        </w:rPr>
      </w:pPr>
      <w:r>
        <w:rPr>
          <w:rFonts w:asciiTheme="minorEastAsia" w:eastAsiaTheme="minorEastAsia" w:hAnsiTheme="minorEastAsia"/>
          <w:bCs/>
          <w:iCs/>
          <w:sz w:val="24"/>
          <w:szCs w:val="24"/>
        </w:rPr>
        <w:t>编号：</w:t>
      </w:r>
      <w:r>
        <w:rPr>
          <w:rFonts w:asciiTheme="minorEastAsia" w:eastAsiaTheme="minorEastAsia" w:hAnsiTheme="minorEastAsia" w:hint="eastAsia"/>
          <w:bCs/>
          <w:iCs/>
          <w:sz w:val="24"/>
          <w:szCs w:val="24"/>
        </w:rPr>
        <w:t>2017-12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815"/>
      </w:tblGrid>
      <w:tr w:rsidR="00C82B76">
        <w:tc>
          <w:tcPr>
            <w:tcW w:w="2943" w:type="dxa"/>
          </w:tcPr>
          <w:p w:rsidR="00C82B76" w:rsidRDefault="00147071">
            <w:pPr>
              <w:spacing w:line="480" w:lineRule="atLeast"/>
              <w:rPr>
                <w:rFonts w:asciiTheme="minorEastAsia" w:eastAsiaTheme="minorEastAsia" w:hAnsi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C82B76" w:rsidRDefault="00C82B76">
            <w:pPr>
              <w:spacing w:line="480" w:lineRule="atLeast"/>
              <w:rPr>
                <w:rFonts w:asciiTheme="minorEastAsia" w:eastAsiaTheme="minorEastAsia" w:hAnsiTheme="minorEastAsi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15" w:type="dxa"/>
          </w:tcPr>
          <w:p w:rsidR="00C82B76" w:rsidRDefault="00147071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iCs/>
                <w:sz w:val="24"/>
                <w:szCs w:val="24"/>
              </w:rPr>
              <w:t xml:space="preserve">√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特定对象调研</w:t>
            </w:r>
            <w:r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分析师会议</w:t>
            </w:r>
          </w:p>
          <w:p w:rsidR="00C82B76" w:rsidRDefault="00147071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媒体采访</w:t>
            </w:r>
            <w:r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业绩说明会</w:t>
            </w:r>
          </w:p>
          <w:p w:rsidR="00C82B76" w:rsidRDefault="00147071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新闻发布会</w:t>
            </w:r>
            <w:r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路演活动</w:t>
            </w:r>
          </w:p>
          <w:p w:rsidR="00C82B76" w:rsidRDefault="00147071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现场参观</w:t>
            </w:r>
            <w:r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  <w:tab/>
            </w:r>
          </w:p>
          <w:p w:rsidR="00C82B76" w:rsidRDefault="00147071">
            <w:pPr>
              <w:tabs>
                <w:tab w:val="center" w:pos="3199"/>
              </w:tabs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其他（</w:t>
            </w:r>
            <w:proofErr w:type="gramStart"/>
            <w: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>请文字</w:t>
            </w:r>
            <w:proofErr w:type="gramEnd"/>
            <w: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>说明其他活动内容）</w:t>
            </w:r>
          </w:p>
        </w:tc>
      </w:tr>
      <w:tr w:rsidR="00C82B76">
        <w:tc>
          <w:tcPr>
            <w:tcW w:w="2943" w:type="dxa"/>
          </w:tcPr>
          <w:p w:rsidR="00C82B76" w:rsidRDefault="00147071">
            <w:pPr>
              <w:spacing w:line="480" w:lineRule="atLeast"/>
              <w:rPr>
                <w:rFonts w:asciiTheme="minorEastAsia" w:eastAsiaTheme="minorEastAsia" w:hAnsi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5815" w:type="dxa"/>
          </w:tcPr>
          <w:p w:rsidR="00C82B76" w:rsidRDefault="00147071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乐瑞资产 邓华元</w:t>
            </w:r>
          </w:p>
          <w:p w:rsidR="00C82B76" w:rsidRDefault="00147071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财通基金 王宇颖</w:t>
            </w:r>
          </w:p>
          <w:p w:rsidR="00C82B76" w:rsidRDefault="00147071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长江证券 余昌</w:t>
            </w:r>
          </w:p>
          <w:p w:rsidR="00C82B76" w:rsidRDefault="00147071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国金证券 周莎</w:t>
            </w:r>
          </w:p>
          <w:p w:rsidR="00C82B76" w:rsidRDefault="00147071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上海瑞廷 李赟</w:t>
            </w:r>
          </w:p>
          <w:p w:rsidR="00C82B76" w:rsidRDefault="00147071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云泓投资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 xml:space="preserve"> 周立恒</w:t>
            </w:r>
          </w:p>
          <w:p w:rsidR="00C82B76" w:rsidRDefault="00147071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安信基金 张翼飞、李君</w:t>
            </w:r>
          </w:p>
          <w:p w:rsidR="00C82B76" w:rsidRDefault="00147071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鸿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道投资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 xml:space="preserve"> 栗敏</w:t>
            </w:r>
          </w:p>
          <w:p w:rsidR="00C82B76" w:rsidRDefault="00147071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国都证券 魏金剑</w:t>
            </w:r>
          </w:p>
          <w:p w:rsidR="00C82B76" w:rsidRDefault="00147071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源乐晟 吴龙霖</w:t>
            </w:r>
          </w:p>
          <w:p w:rsidR="00C82B76" w:rsidRDefault="00147071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锐意资本 刘思远</w:t>
            </w:r>
          </w:p>
          <w:p w:rsidR="00C82B76" w:rsidRDefault="00147071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汤晟资产 郑秋鹏</w:t>
            </w:r>
          </w:p>
          <w:p w:rsidR="00C82B76" w:rsidRDefault="00147071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倍佳资本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 xml:space="preserve"> 王婧媛</w:t>
            </w:r>
          </w:p>
          <w:p w:rsidR="00C82B76" w:rsidRDefault="00147071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国投瑞银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 xml:space="preserve"> 刘潇潇、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吴默村</w:t>
            </w:r>
            <w:proofErr w:type="gramEnd"/>
          </w:p>
          <w:p w:rsidR="00C82B76" w:rsidRDefault="00147071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圣为投资 袁胜</w:t>
            </w:r>
          </w:p>
          <w:p w:rsidR="00C82B76" w:rsidRDefault="00147071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严海峰</w:t>
            </w:r>
            <w:proofErr w:type="gramEnd"/>
          </w:p>
          <w:p w:rsidR="00C82B76" w:rsidRDefault="00147071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河南鸿宝集团 宣俊主、孟军伟</w:t>
            </w:r>
          </w:p>
          <w:p w:rsidR="00C82B76" w:rsidRDefault="00147071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lastRenderedPageBreak/>
              <w:t>华创证券 张宇</w:t>
            </w:r>
          </w:p>
          <w:p w:rsidR="00C82B76" w:rsidRDefault="00147071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招商证券 雷轶</w:t>
            </w:r>
          </w:p>
        </w:tc>
      </w:tr>
      <w:tr w:rsidR="00C82B76">
        <w:tc>
          <w:tcPr>
            <w:tcW w:w="2943" w:type="dxa"/>
          </w:tcPr>
          <w:p w:rsidR="00C82B76" w:rsidRDefault="00147071">
            <w:pPr>
              <w:spacing w:line="480" w:lineRule="atLeast"/>
              <w:rPr>
                <w:rFonts w:asciiTheme="minorEastAsia" w:eastAsiaTheme="minorEastAsia" w:hAnsi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iCs/>
                <w:sz w:val="24"/>
                <w:szCs w:val="24"/>
              </w:rPr>
              <w:lastRenderedPageBreak/>
              <w:t>时间</w:t>
            </w:r>
          </w:p>
        </w:tc>
        <w:tc>
          <w:tcPr>
            <w:tcW w:w="5815" w:type="dxa"/>
          </w:tcPr>
          <w:p w:rsidR="00C82B76" w:rsidRDefault="00147071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  <w:t>201</w:t>
            </w: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16</w:t>
            </w:r>
            <w:r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  <w:t>日</w:t>
            </w:r>
          </w:p>
        </w:tc>
      </w:tr>
      <w:tr w:rsidR="00C82B76">
        <w:tc>
          <w:tcPr>
            <w:tcW w:w="2943" w:type="dxa"/>
          </w:tcPr>
          <w:p w:rsidR="00C82B76" w:rsidRDefault="00147071">
            <w:pPr>
              <w:spacing w:line="480" w:lineRule="atLeast"/>
              <w:rPr>
                <w:rFonts w:asciiTheme="minorEastAsia" w:eastAsiaTheme="minorEastAsia" w:hAnsi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5815" w:type="dxa"/>
          </w:tcPr>
          <w:p w:rsidR="00C82B76" w:rsidRDefault="00147071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公司总部会议室</w:t>
            </w:r>
          </w:p>
        </w:tc>
      </w:tr>
      <w:tr w:rsidR="00C82B76">
        <w:tc>
          <w:tcPr>
            <w:tcW w:w="2943" w:type="dxa"/>
          </w:tcPr>
          <w:p w:rsidR="00C82B76" w:rsidRDefault="00147071">
            <w:pPr>
              <w:spacing w:line="480" w:lineRule="atLeast"/>
              <w:rPr>
                <w:rFonts w:asciiTheme="minorEastAsia" w:eastAsiaTheme="minorEastAsia" w:hAnsi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5815" w:type="dxa"/>
          </w:tcPr>
          <w:p w:rsidR="00C82B76" w:rsidRDefault="00147071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董事会秘书、副总经理  秦军</w:t>
            </w:r>
          </w:p>
          <w:p w:rsidR="00C82B76" w:rsidRDefault="00147071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证券事务代表  曹芳</w:t>
            </w:r>
          </w:p>
        </w:tc>
      </w:tr>
      <w:tr w:rsidR="00C82B76">
        <w:trPr>
          <w:trHeight w:val="1125"/>
        </w:trPr>
        <w:tc>
          <w:tcPr>
            <w:tcW w:w="8758" w:type="dxa"/>
            <w:gridSpan w:val="2"/>
          </w:tcPr>
          <w:p w:rsidR="00C82B76" w:rsidRDefault="00147071">
            <w:pPr>
              <w:pStyle w:val="1"/>
              <w:spacing w:line="480" w:lineRule="atLeast"/>
              <w:ind w:left="360" w:firstLineChars="1300" w:firstLine="3132"/>
              <w:rPr>
                <w:rFonts w:asciiTheme="minorEastAsia" w:eastAsiaTheme="minorEastAsia" w:hAnsiTheme="minorEastAsia" w:cs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iCs/>
                <w:sz w:val="24"/>
                <w:szCs w:val="24"/>
              </w:rPr>
              <w:t>会谈主要内容</w:t>
            </w:r>
          </w:p>
          <w:p w:rsidR="00C82B76" w:rsidRDefault="00C82B76">
            <w:pPr>
              <w:pStyle w:val="1"/>
              <w:spacing w:line="480" w:lineRule="atLeast"/>
              <w:ind w:left="360" w:firstLineChars="1300" w:firstLine="3132"/>
              <w:rPr>
                <w:rFonts w:asciiTheme="minorEastAsia" w:eastAsiaTheme="minorEastAsia" w:hAnsiTheme="minorEastAsia" w:cstheme="minorEastAsia"/>
                <w:b/>
                <w:bCs/>
                <w:iCs/>
                <w:sz w:val="24"/>
                <w:szCs w:val="24"/>
              </w:rPr>
            </w:pPr>
          </w:p>
          <w:p w:rsidR="00C82B76" w:rsidRDefault="00147071">
            <w:pPr>
              <w:pStyle w:val="a8"/>
              <w:spacing w:before="0" w:beforeAutospacing="0" w:after="0" w:afterAutospacing="0"/>
              <w:rPr>
                <w:rFonts w:asciiTheme="minorEastAsia" w:eastAsiaTheme="minorEastAsia" w:hAnsiTheme="minorEastAsia" w:cstheme="minorEastAsia"/>
                <w:b/>
                <w:bCs/>
                <w:iCs/>
                <w:kern w:val="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iCs/>
                <w:kern w:val="2"/>
              </w:rPr>
              <w:t>1．5＋精准扶贫模式的背景和原因？</w:t>
            </w:r>
          </w:p>
          <w:p w:rsidR="00C82B76" w:rsidRDefault="00147071">
            <w:pPr>
              <w:spacing w:line="480" w:lineRule="atLeast"/>
              <w:ind w:firstLineChars="200" w:firstLine="480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由于集约化的养殖方式，对于土地和粮食有较大的需求；根据中国目前的发展阶段，种植业发达的县域一般经济发展水平欠发达，这是资源禀赋的特点</w:t>
            </w:r>
            <w:r w:rsidR="00460847"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。</w:t>
            </w: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公司有相当一部分子公司就处于国家贫困县和省级贫困县，基于这样的背景和前提，公司</w:t>
            </w:r>
            <w:r w:rsidR="00554F37"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与内</w:t>
            </w: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乡县与县政府、金融机构等设计出“5＋”的精准扶贫模式，具体内容为：</w:t>
            </w:r>
          </w:p>
          <w:p w:rsidR="00C82B76" w:rsidRDefault="00147071" w:rsidP="00F50B1E">
            <w:pPr>
              <w:spacing w:line="480" w:lineRule="atLeast"/>
              <w:ind w:firstLineChars="200" w:firstLine="480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金融机构向当地建档立卡的贫困户发放贷款，贫困户将贷款资金委托合作社统一管理，合作社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按照牧原股份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的标准与要求建设规模化生猪养殖体系及其辅助设施，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牧原股份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向合作社租赁资产从事生猪养殖并支付租金，合作社收到租金后支付贷款本息并向社员分配收益，贫困户社员分得的收益可确保其脱贫</w:t>
            </w:r>
            <w:r w:rsidR="00BD17BF"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。</w:t>
            </w:r>
          </w:p>
          <w:p w:rsidR="00C82B76" w:rsidRDefault="00147071">
            <w:pPr>
              <w:spacing w:line="480" w:lineRule="atLeast"/>
              <w:ind w:firstLineChars="200" w:firstLine="480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目前，该模式不仅实现了对内乡15228户建档立卡贫困户的全覆盖，还复制推广到全国7省15个县，覆盖了63034户建档立卡贫困户，扶贫成果显著。</w:t>
            </w:r>
          </w:p>
          <w:p w:rsidR="00C82B76" w:rsidRDefault="00147071">
            <w:pPr>
              <w:spacing w:line="480" w:lineRule="atLeast"/>
              <w:ind w:firstLineChars="200" w:firstLine="480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未来，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牧原股份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 xml:space="preserve">将继续与贫困地区的地方政府部门、各类金融机构、农村合作组织等各方密切合作，结合地方产业特点、资源优势等因素，发挥龙头企业的辐射带动作用，利用市场化的方式，形成长期可持续发展的产业扶贫体系，为打赢脱贫攻坚战做出应有的贡献。 </w:t>
            </w:r>
          </w:p>
          <w:p w:rsidR="00C82B76" w:rsidRDefault="00C82B76">
            <w:pPr>
              <w:pStyle w:val="a8"/>
              <w:spacing w:before="0" w:beforeAutospacing="0" w:after="0" w:afterAutospacing="0"/>
              <w:rPr>
                <w:rFonts w:asciiTheme="minorEastAsia" w:eastAsiaTheme="minorEastAsia" w:hAnsiTheme="minorEastAsia" w:cstheme="minorEastAsia"/>
              </w:rPr>
            </w:pPr>
          </w:p>
          <w:p w:rsidR="00C82B76" w:rsidRPr="00F50B1E" w:rsidRDefault="00147071">
            <w:pPr>
              <w:pStyle w:val="a8"/>
              <w:spacing w:before="0" w:beforeAutospacing="0" w:after="0" w:afterAutospacing="0"/>
              <w:rPr>
                <w:rFonts w:asciiTheme="minorEastAsia" w:eastAsiaTheme="minorEastAsia" w:hAnsiTheme="minorEastAsia" w:cstheme="minorEastAsia"/>
                <w:b/>
                <w:bCs/>
                <w:iCs/>
                <w:kern w:val="2"/>
              </w:rPr>
            </w:pPr>
            <w:r w:rsidRPr="00F50B1E">
              <w:rPr>
                <w:rFonts w:asciiTheme="minorEastAsia" w:eastAsiaTheme="minorEastAsia" w:hAnsiTheme="minorEastAsia" w:cstheme="minorEastAsia" w:hint="eastAsia"/>
                <w:b/>
                <w:bCs/>
                <w:iCs/>
                <w:kern w:val="2"/>
              </w:rPr>
              <w:t xml:space="preserve">2. </w:t>
            </w:r>
            <w:r w:rsidR="00554F37" w:rsidRPr="00F50B1E">
              <w:rPr>
                <w:rFonts w:asciiTheme="minorEastAsia" w:eastAsiaTheme="minorEastAsia" w:hAnsiTheme="minorEastAsia" w:cstheme="minorEastAsia" w:hint="eastAsia"/>
                <w:b/>
                <w:bCs/>
                <w:iCs/>
                <w:kern w:val="2"/>
              </w:rPr>
              <w:t>公司对</w:t>
            </w:r>
            <w:r w:rsidRPr="00F50B1E">
              <w:rPr>
                <w:rFonts w:asciiTheme="minorEastAsia" w:eastAsiaTheme="minorEastAsia" w:hAnsiTheme="minorEastAsia" w:cstheme="minorEastAsia" w:hint="eastAsia"/>
                <w:b/>
                <w:bCs/>
                <w:iCs/>
                <w:kern w:val="2"/>
              </w:rPr>
              <w:t>股权融资和债务融资的</w:t>
            </w:r>
            <w:r w:rsidR="00554F37" w:rsidRPr="00F50B1E">
              <w:rPr>
                <w:rFonts w:asciiTheme="minorEastAsia" w:eastAsiaTheme="minorEastAsia" w:hAnsiTheme="minorEastAsia" w:cstheme="minorEastAsia" w:hint="eastAsia"/>
                <w:b/>
                <w:bCs/>
                <w:iCs/>
                <w:kern w:val="2"/>
              </w:rPr>
              <w:t>安排</w:t>
            </w:r>
            <w:r w:rsidRPr="00F50B1E">
              <w:rPr>
                <w:rFonts w:asciiTheme="minorEastAsia" w:eastAsiaTheme="minorEastAsia" w:hAnsiTheme="minorEastAsia" w:cstheme="minorEastAsia" w:hint="eastAsia"/>
                <w:b/>
                <w:bCs/>
                <w:iCs/>
                <w:kern w:val="2"/>
              </w:rPr>
              <w:t>，发行优先股的</w:t>
            </w:r>
            <w:r w:rsidR="00554F37" w:rsidRPr="00F50B1E">
              <w:rPr>
                <w:rFonts w:asciiTheme="minorEastAsia" w:eastAsiaTheme="minorEastAsia" w:hAnsiTheme="minorEastAsia" w:cstheme="minorEastAsia" w:hint="eastAsia"/>
                <w:b/>
                <w:bCs/>
                <w:iCs/>
                <w:kern w:val="2"/>
              </w:rPr>
              <w:t>原因</w:t>
            </w:r>
            <w:r w:rsidRPr="00F50B1E">
              <w:rPr>
                <w:rFonts w:asciiTheme="minorEastAsia" w:eastAsiaTheme="minorEastAsia" w:hAnsiTheme="minorEastAsia" w:cstheme="minorEastAsia" w:hint="eastAsia"/>
                <w:b/>
                <w:bCs/>
                <w:iCs/>
                <w:kern w:val="2"/>
              </w:rPr>
              <w:t>以及负债率的控制目标？</w:t>
            </w:r>
          </w:p>
          <w:p w:rsidR="00C82B76" w:rsidRDefault="00147071">
            <w:pPr>
              <w:spacing w:line="480" w:lineRule="atLeast"/>
              <w:ind w:firstLineChars="200" w:firstLine="480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（1）公司处于快速发展阶段，会先把债务融资用好。公司会分析各种融资产品的特点，根据公司的需要进行储备发行。</w:t>
            </w:r>
          </w:p>
          <w:p w:rsidR="00C82B76" w:rsidRDefault="00147071">
            <w:pPr>
              <w:spacing w:line="480" w:lineRule="atLeast"/>
              <w:ind w:firstLineChars="200" w:firstLine="480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（2）发行优先股的原因有以下</w:t>
            </w:r>
            <w:r w:rsidR="00460847"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两</w:t>
            </w: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点：</w:t>
            </w:r>
          </w:p>
          <w:p w:rsidR="00C82B76" w:rsidRDefault="00147071" w:rsidP="00F50B1E">
            <w:pPr>
              <w:spacing w:line="480" w:lineRule="atLeast"/>
              <w:ind w:firstLineChars="200" w:firstLine="480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第一、</w:t>
            </w:r>
            <w:r w:rsidR="00460847"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根据</w:t>
            </w:r>
            <w:r w:rsidR="00460847"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  <w:t>证监会的最新政策</w:t>
            </w: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，</w:t>
            </w:r>
            <w:bookmarkStart w:id="0" w:name="_GoBack"/>
            <w:r w:rsidR="00C51C2A" w:rsidRPr="00C51C2A"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增发、配股、非公开发行股</w:t>
            </w:r>
            <w:bookmarkEnd w:id="0"/>
            <w:r w:rsidR="00C51C2A" w:rsidRPr="00C51C2A"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票</w:t>
            </w: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再融资</w:t>
            </w:r>
            <w:r w:rsidR="00460847"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需要</w:t>
            </w:r>
            <w:r w:rsidR="00460847"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  <w:t>间隔</w:t>
            </w:r>
            <w:r w:rsidR="00460847"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  <w:lastRenderedPageBreak/>
              <w:t>至少</w:t>
            </w:r>
            <w:r w:rsidR="00460847"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18个</w:t>
            </w:r>
            <w:r w:rsidR="00460847"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，</w:t>
            </w:r>
            <w:r w:rsidR="00460847"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现在</w:t>
            </w:r>
            <w:r w:rsidR="00460847"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  <w:t>鼓励发行</w:t>
            </w: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优先股和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可转债</w:t>
            </w:r>
            <w:r w:rsidR="00460847"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这两个</w:t>
            </w:r>
            <w:proofErr w:type="gramEnd"/>
            <w:r w:rsidR="00460847"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产品；</w:t>
            </w:r>
          </w:p>
          <w:p w:rsidR="00C82B76" w:rsidRDefault="00147071" w:rsidP="00F50B1E">
            <w:pPr>
              <w:spacing w:line="480" w:lineRule="atLeast"/>
              <w:ind w:firstLineChars="200" w:firstLine="480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第二、优先股是长期资金，结合“猪周期”的特点，有利于发挥长期资金的价值</w:t>
            </w:r>
            <w:r w:rsidR="00460847"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，</w:t>
            </w:r>
            <w:r w:rsidR="00460847"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  <w:t>并有效调整债务结构</w:t>
            </w:r>
            <w:r w:rsidR="00554F37"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。</w:t>
            </w:r>
          </w:p>
          <w:p w:rsidR="00C82B76" w:rsidRDefault="00147071">
            <w:pPr>
              <w:spacing w:line="480" w:lineRule="atLeast"/>
              <w:ind w:firstLineChars="200" w:firstLine="480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（3）</w:t>
            </w:r>
            <w:r w:rsidR="00460847"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公司</w:t>
            </w: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资产负债率大致会控制在50%</w:t>
            </w:r>
            <w:r w:rsidR="00460847"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左右。</w:t>
            </w: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公司处于</w:t>
            </w:r>
            <w:r w:rsidR="00460847"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快速</w:t>
            </w: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发展阶段，维持这个负债率即兼顾了财务稳健，又保证发展需要。</w:t>
            </w:r>
          </w:p>
          <w:p w:rsidR="00C82B76" w:rsidRDefault="00C82B76">
            <w:pPr>
              <w:pStyle w:val="a8"/>
              <w:spacing w:before="0" w:beforeAutospacing="0" w:after="0" w:afterAutospacing="0"/>
              <w:rPr>
                <w:rFonts w:asciiTheme="minorEastAsia" w:eastAsiaTheme="minorEastAsia" w:hAnsiTheme="minorEastAsia" w:cstheme="minorEastAsia"/>
                <w:b/>
                <w:bCs/>
                <w:iCs/>
                <w:kern w:val="2"/>
              </w:rPr>
            </w:pPr>
          </w:p>
          <w:p w:rsidR="00C82B76" w:rsidRDefault="00147071">
            <w:pPr>
              <w:pStyle w:val="a8"/>
              <w:spacing w:before="0" w:beforeAutospacing="0" w:after="0" w:afterAutospacing="0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iCs/>
                <w:kern w:val="2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</w:rPr>
              <w:t xml:space="preserve"> </w:t>
            </w:r>
            <w:r w:rsidR="00EB4B49">
              <w:rPr>
                <w:rFonts w:asciiTheme="minorEastAsia" w:eastAsiaTheme="minorEastAsia" w:hAnsiTheme="minorEastAsia" w:cstheme="minorEastAsia" w:hint="eastAsia"/>
                <w:b/>
                <w:bCs/>
              </w:rPr>
              <w:t>公司仔猪销售的决策依据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</w:rPr>
              <w:t>？</w:t>
            </w:r>
          </w:p>
          <w:p w:rsidR="00C82B76" w:rsidRDefault="00147071" w:rsidP="00F50B1E">
            <w:pPr>
              <w:spacing w:line="480" w:lineRule="atLeast"/>
              <w:ind w:firstLineChars="200" w:firstLine="480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仔猪销售的变量主要取决于</w:t>
            </w:r>
            <w:r w:rsidR="00EB4B49"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市场</w:t>
            </w: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对未来商品猪价格的预期，</w:t>
            </w:r>
            <w:r w:rsidR="00EB4B49"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是由市场决定的。</w:t>
            </w:r>
          </w:p>
          <w:p w:rsidR="00C82B76" w:rsidRDefault="00C82B76">
            <w:pPr>
              <w:pStyle w:val="a8"/>
              <w:spacing w:before="0" w:beforeAutospacing="0" w:after="0" w:afterAutospacing="0"/>
              <w:rPr>
                <w:rFonts w:asciiTheme="minorEastAsia" w:eastAsiaTheme="minorEastAsia" w:hAnsiTheme="minorEastAsia" w:cstheme="minorEastAsia"/>
                <w:bCs/>
                <w:iCs/>
                <w:kern w:val="2"/>
              </w:rPr>
            </w:pPr>
          </w:p>
          <w:p w:rsidR="00C82B76" w:rsidRDefault="00554F37">
            <w:pPr>
              <w:pStyle w:val="a8"/>
              <w:spacing w:before="0" w:beforeAutospacing="0" w:after="0" w:afterAutospacing="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iCs/>
                <w:kern w:val="2"/>
              </w:rPr>
              <w:t>4</w:t>
            </w:r>
            <w:r w:rsidR="00147071">
              <w:rPr>
                <w:rFonts w:asciiTheme="minorEastAsia" w:eastAsiaTheme="minorEastAsia" w:hAnsiTheme="minorEastAsia" w:cstheme="minorEastAsia" w:hint="eastAsia"/>
                <w:b/>
                <w:bCs/>
                <w:iCs/>
                <w:kern w:val="2"/>
              </w:rPr>
              <w:t>.</w:t>
            </w:r>
            <w:r w:rsidR="00147071">
              <w:rPr>
                <w:rFonts w:asciiTheme="minorEastAsia" w:eastAsiaTheme="minorEastAsia" w:hAnsiTheme="minorEastAsia" w:cstheme="minorEastAsia" w:hint="eastAsia"/>
                <w:b/>
                <w:bCs/>
              </w:rPr>
              <w:t xml:space="preserve"> 境外债发行的原因和进度？</w:t>
            </w:r>
          </w:p>
          <w:p w:rsidR="00C82B76" w:rsidRDefault="00147071">
            <w:pPr>
              <w:spacing w:line="480" w:lineRule="atLeast"/>
              <w:ind w:firstLineChars="200" w:firstLine="480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目前公司处于快速发展的阶段，资金需求量较大，</w:t>
            </w:r>
            <w:r w:rsidR="00FF1DA0"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发行境外债有利于公司</w:t>
            </w:r>
            <w:r w:rsidR="00FF1DA0" w:rsidRPr="002F0230">
              <w:rPr>
                <w:rFonts w:hint="eastAsia"/>
                <w:sz w:val="24"/>
              </w:rPr>
              <w:t>进一步拓宽融资渠道、调整并优化公司债务结构、降低公司融资成本</w:t>
            </w: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。目前正在有序推进中，请及时关注公司的后续公告。</w:t>
            </w:r>
          </w:p>
          <w:p w:rsidR="00C82B76" w:rsidRDefault="00C82B76">
            <w:pPr>
              <w:pStyle w:val="a8"/>
              <w:spacing w:before="0" w:beforeAutospacing="0" w:after="0" w:afterAutospacing="0"/>
              <w:rPr>
                <w:rFonts w:asciiTheme="minorEastAsia" w:eastAsiaTheme="minorEastAsia" w:hAnsiTheme="minorEastAsia" w:cstheme="minorEastAsia"/>
                <w:bCs/>
                <w:iCs/>
                <w:kern w:val="2"/>
              </w:rPr>
            </w:pPr>
          </w:p>
          <w:p w:rsidR="00C82B76" w:rsidRDefault="00554F37">
            <w:pPr>
              <w:pStyle w:val="a8"/>
              <w:spacing w:before="0" w:beforeAutospacing="0" w:after="0" w:afterAutospacing="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iCs/>
                <w:kern w:val="2"/>
              </w:rPr>
              <w:t>5</w:t>
            </w:r>
            <w:r w:rsidR="00147071">
              <w:rPr>
                <w:rFonts w:asciiTheme="minorEastAsia" w:eastAsiaTheme="minorEastAsia" w:hAnsiTheme="minorEastAsia" w:cstheme="minorEastAsia" w:hint="eastAsia"/>
                <w:b/>
                <w:bCs/>
                <w:iCs/>
                <w:kern w:val="2"/>
              </w:rPr>
              <w:t>．</w:t>
            </w:r>
            <w:r w:rsidR="00147071">
              <w:rPr>
                <w:rFonts w:asciiTheme="minorEastAsia" w:eastAsiaTheme="minorEastAsia" w:hAnsiTheme="minorEastAsia" w:cstheme="minorEastAsia" w:hint="eastAsia"/>
                <w:b/>
                <w:bCs/>
              </w:rPr>
              <w:t>公司自建饲料厂的原因？</w:t>
            </w:r>
            <w:r w:rsidR="00EB4B49">
              <w:rPr>
                <w:rFonts w:asciiTheme="minorEastAsia" w:eastAsiaTheme="minorEastAsia" w:hAnsiTheme="minorEastAsia" w:cstheme="minorEastAsia"/>
              </w:rPr>
              <w:t xml:space="preserve"> </w:t>
            </w:r>
          </w:p>
          <w:p w:rsidR="00554F37" w:rsidRDefault="00147071" w:rsidP="00554F37">
            <w:pPr>
              <w:spacing w:line="480" w:lineRule="atLeast"/>
              <w:ind w:firstLineChars="200" w:firstLine="480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（1）</w:t>
            </w:r>
            <w:r w:rsidR="00554F37"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降低公司成本：</w:t>
            </w:r>
            <w:r w:rsidR="00554F37">
              <w:rPr>
                <w:rFonts w:hint="eastAsia"/>
                <w:bCs/>
                <w:iCs/>
                <w:sz w:val="24"/>
                <w:szCs w:val="24"/>
              </w:rPr>
              <w:t>子公司布局在粮食主产区，原则上就近收购原粮，运输成本较低；公司在每个子公司设置自有的饲料厂，散装运输</w:t>
            </w:r>
            <w:proofErr w:type="gramStart"/>
            <w:r w:rsidR="00554F37">
              <w:rPr>
                <w:rFonts w:hint="eastAsia"/>
                <w:bCs/>
                <w:iCs/>
                <w:sz w:val="24"/>
                <w:szCs w:val="24"/>
              </w:rPr>
              <w:t>且运输</w:t>
            </w:r>
            <w:proofErr w:type="gramEnd"/>
            <w:r w:rsidR="00554F37">
              <w:rPr>
                <w:rFonts w:hint="eastAsia"/>
                <w:bCs/>
                <w:iCs/>
                <w:sz w:val="24"/>
                <w:szCs w:val="24"/>
              </w:rPr>
              <w:t>半径相对较小，节省了部分成本。</w:t>
            </w:r>
          </w:p>
          <w:p w:rsidR="00554F37" w:rsidRDefault="00554F37" w:rsidP="00554F37">
            <w:pPr>
              <w:spacing w:line="480" w:lineRule="atLeast"/>
              <w:ind w:firstLineChars="200" w:firstLine="480"/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</w:pPr>
            <w:r w:rsidRPr="00554F37"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（2</w:t>
            </w: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）保证食品安全：</w:t>
            </w:r>
            <w:r w:rsidRPr="00554F37"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公司自建饲料场，</w:t>
            </w: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从</w:t>
            </w:r>
            <w:r w:rsidRPr="00554F37"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  <w:t>饲料原料采购、饲料生产加工、饲料运输等环节均制定了严格的质量标准和品质检验、控制程序，确保饲料品质符合国家标准和满足公司仔猪、种猪、商品猪饲养的需要，从源头上对食品安全进行了控制</w:t>
            </w:r>
            <w:r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，</w:t>
            </w:r>
            <w:r w:rsidRPr="00554F37">
              <w:rPr>
                <w:rFonts w:asciiTheme="minorEastAsia" w:eastAsiaTheme="minorEastAsia" w:hAnsiTheme="minorEastAsia" w:hint="eastAsia"/>
                <w:bCs/>
                <w:iCs/>
                <w:sz w:val="24"/>
                <w:szCs w:val="24"/>
              </w:rPr>
              <w:t>有</w:t>
            </w:r>
            <w:r w:rsidRPr="00554F37">
              <w:rPr>
                <w:rFonts w:asciiTheme="minorEastAsia" w:eastAsiaTheme="minorEastAsia" w:hAnsiTheme="minorEastAsia"/>
                <w:bCs/>
                <w:iCs/>
                <w:sz w:val="24"/>
                <w:szCs w:val="24"/>
              </w:rPr>
              <w:t>利于公司对食品安全与产品质量进行全过程控制。</w:t>
            </w:r>
          </w:p>
          <w:p w:rsidR="00C82B76" w:rsidRDefault="00C82B76">
            <w:pPr>
              <w:spacing w:line="480" w:lineRule="atLeast"/>
              <w:ind w:firstLineChars="200" w:firstLine="480"/>
              <w:rPr>
                <w:rFonts w:asciiTheme="minorEastAsia" w:eastAsiaTheme="minorEastAsia" w:hAnsiTheme="minorEastAsia" w:cstheme="minorEastAsia"/>
                <w:bCs/>
                <w:iCs/>
                <w:sz w:val="24"/>
                <w:szCs w:val="24"/>
              </w:rPr>
            </w:pPr>
          </w:p>
        </w:tc>
      </w:tr>
      <w:tr w:rsidR="00C82B76">
        <w:tc>
          <w:tcPr>
            <w:tcW w:w="2943" w:type="dxa"/>
            <w:vAlign w:val="center"/>
          </w:tcPr>
          <w:p w:rsidR="00C82B76" w:rsidRDefault="00147071">
            <w:pPr>
              <w:spacing w:line="480" w:lineRule="atLeast"/>
              <w:rPr>
                <w:rFonts w:asciiTheme="minorEastAsia" w:eastAsiaTheme="minorEastAsia" w:hAnsiTheme="minorEastAsia" w:cs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5815" w:type="dxa"/>
          </w:tcPr>
          <w:p w:rsidR="00C82B76" w:rsidRDefault="00C82B76">
            <w:pPr>
              <w:spacing w:line="480" w:lineRule="atLeast"/>
              <w:rPr>
                <w:rFonts w:asciiTheme="minorEastAsia" w:eastAsiaTheme="minorEastAsia" w:hAnsiTheme="minorEastAsia" w:cstheme="minorEastAsia"/>
                <w:bCs/>
                <w:iCs/>
                <w:sz w:val="24"/>
                <w:szCs w:val="24"/>
              </w:rPr>
            </w:pPr>
          </w:p>
        </w:tc>
      </w:tr>
      <w:tr w:rsidR="00C82B76">
        <w:tc>
          <w:tcPr>
            <w:tcW w:w="2943" w:type="dxa"/>
            <w:vAlign w:val="center"/>
          </w:tcPr>
          <w:p w:rsidR="00C82B76" w:rsidRDefault="00147071">
            <w:pPr>
              <w:spacing w:line="480" w:lineRule="atLeast"/>
              <w:rPr>
                <w:rFonts w:asciiTheme="minorEastAsia" w:eastAsiaTheme="minorEastAsia" w:hAnsiTheme="minorEastAsia" w:cs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5815" w:type="dxa"/>
          </w:tcPr>
          <w:p w:rsidR="00C82B76" w:rsidRDefault="00147071">
            <w:pPr>
              <w:spacing w:line="480" w:lineRule="atLeast"/>
              <w:rPr>
                <w:rFonts w:asciiTheme="minorEastAsia" w:eastAsia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iCs/>
                <w:sz w:val="24"/>
                <w:szCs w:val="24"/>
              </w:rPr>
              <w:t>2017年11月16日</w:t>
            </w:r>
          </w:p>
        </w:tc>
      </w:tr>
    </w:tbl>
    <w:p w:rsidR="00C82B76" w:rsidRDefault="00C82B76">
      <w:pPr>
        <w:rPr>
          <w:rFonts w:asciiTheme="minorEastAsia" w:eastAsiaTheme="minorEastAsia" w:hAnsiTheme="minorEastAsia"/>
        </w:rPr>
      </w:pPr>
    </w:p>
    <w:sectPr w:rsidR="00C82B76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024" w:rsidRDefault="003F6024">
      <w:r>
        <w:separator/>
      </w:r>
    </w:p>
  </w:endnote>
  <w:endnote w:type="continuationSeparator" w:id="0">
    <w:p w:rsidR="003F6024" w:rsidRDefault="003F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024" w:rsidRDefault="003F6024">
      <w:r>
        <w:separator/>
      </w:r>
    </w:p>
  </w:footnote>
  <w:footnote w:type="continuationSeparator" w:id="0">
    <w:p w:rsidR="003F6024" w:rsidRDefault="003F6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B76" w:rsidRDefault="00C82B76">
    <w:pPr>
      <w:pStyle w:val="a7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曹芳">
    <w15:presenceInfo w15:providerId="None" w15:userId="曹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25"/>
    <w:rsid w:val="0005070A"/>
    <w:rsid w:val="00147071"/>
    <w:rsid w:val="00255C75"/>
    <w:rsid w:val="002A5947"/>
    <w:rsid w:val="003F6024"/>
    <w:rsid w:val="00460847"/>
    <w:rsid w:val="004D131B"/>
    <w:rsid w:val="0055157E"/>
    <w:rsid w:val="00554F37"/>
    <w:rsid w:val="006F062E"/>
    <w:rsid w:val="008114C3"/>
    <w:rsid w:val="00872E02"/>
    <w:rsid w:val="00915DE4"/>
    <w:rsid w:val="009E0AC0"/>
    <w:rsid w:val="00A53C80"/>
    <w:rsid w:val="00A86FAA"/>
    <w:rsid w:val="00AE6500"/>
    <w:rsid w:val="00B017EE"/>
    <w:rsid w:val="00B26216"/>
    <w:rsid w:val="00B52031"/>
    <w:rsid w:val="00B55820"/>
    <w:rsid w:val="00B65A7E"/>
    <w:rsid w:val="00BD17BF"/>
    <w:rsid w:val="00C51C2A"/>
    <w:rsid w:val="00C82B76"/>
    <w:rsid w:val="00C95D25"/>
    <w:rsid w:val="00CB44F5"/>
    <w:rsid w:val="00D16422"/>
    <w:rsid w:val="00E25DF6"/>
    <w:rsid w:val="00E61B58"/>
    <w:rsid w:val="00E968A5"/>
    <w:rsid w:val="00EB4B49"/>
    <w:rsid w:val="00EC3107"/>
    <w:rsid w:val="00F50B1E"/>
    <w:rsid w:val="00FF1DA0"/>
    <w:rsid w:val="3DA4307C"/>
    <w:rsid w:val="5514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page number"/>
    <w:basedOn w:val="a0"/>
    <w:qFormat/>
  </w:style>
  <w:style w:type="character" w:styleId="aa">
    <w:name w:val="annotation reference"/>
    <w:qFormat/>
    <w:rPr>
      <w:sz w:val="21"/>
      <w:szCs w:val="21"/>
    </w:rPr>
  </w:style>
  <w:style w:type="paragraph" w:customStyle="1" w:styleId="Style10">
    <w:name w:val="_Style 10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</w:pPr>
    <w:rPr>
      <w:rFonts w:ascii="宋体" w:hAnsi="宋体" w:hint="eastAsia"/>
      <w:color w:val="000000"/>
      <w:sz w:val="24"/>
    </w:rPr>
  </w:style>
  <w:style w:type="character" w:customStyle="1" w:styleId="Char">
    <w:name w:val="批注主题 Char"/>
    <w:link w:val="a3"/>
    <w:qFormat/>
    <w:rPr>
      <w:b/>
      <w:bCs/>
      <w:kern w:val="2"/>
      <w:sz w:val="21"/>
    </w:rPr>
  </w:style>
  <w:style w:type="character" w:customStyle="1" w:styleId="Char0">
    <w:name w:val="批注文字 Char"/>
    <w:link w:val="a4"/>
    <w:qFormat/>
    <w:rPr>
      <w:kern w:val="2"/>
      <w:sz w:val="21"/>
    </w:rPr>
  </w:style>
  <w:style w:type="character" w:customStyle="1" w:styleId="Char1">
    <w:name w:val="批注框文本 Char"/>
    <w:link w:val="a5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ab">
    <w:name w:val="屌丝"/>
    <w:uiPriority w:val="99"/>
    <w:qFormat/>
    <w:rsid w:val="00554F37"/>
    <w:pPr>
      <w:spacing w:beforeLines="50" w:before="50" w:afterLines="50" w:after="50" w:line="360" w:lineRule="auto"/>
      <w:ind w:firstLineChars="200" w:firstLine="200"/>
      <w:jc w:val="both"/>
    </w:pPr>
    <w:rPr>
      <w:rFonts w:ascii="宋体" w:hAnsi="宋体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page number"/>
    <w:basedOn w:val="a0"/>
    <w:qFormat/>
  </w:style>
  <w:style w:type="character" w:styleId="aa">
    <w:name w:val="annotation reference"/>
    <w:qFormat/>
    <w:rPr>
      <w:sz w:val="21"/>
      <w:szCs w:val="21"/>
    </w:rPr>
  </w:style>
  <w:style w:type="paragraph" w:customStyle="1" w:styleId="Style10">
    <w:name w:val="_Style 10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</w:pPr>
    <w:rPr>
      <w:rFonts w:ascii="宋体" w:hAnsi="宋体" w:hint="eastAsia"/>
      <w:color w:val="000000"/>
      <w:sz w:val="24"/>
    </w:rPr>
  </w:style>
  <w:style w:type="character" w:customStyle="1" w:styleId="Char">
    <w:name w:val="批注主题 Char"/>
    <w:link w:val="a3"/>
    <w:qFormat/>
    <w:rPr>
      <w:b/>
      <w:bCs/>
      <w:kern w:val="2"/>
      <w:sz w:val="21"/>
    </w:rPr>
  </w:style>
  <w:style w:type="character" w:customStyle="1" w:styleId="Char0">
    <w:name w:val="批注文字 Char"/>
    <w:link w:val="a4"/>
    <w:qFormat/>
    <w:rPr>
      <w:kern w:val="2"/>
      <w:sz w:val="21"/>
    </w:rPr>
  </w:style>
  <w:style w:type="character" w:customStyle="1" w:styleId="Char1">
    <w:name w:val="批注框文本 Char"/>
    <w:link w:val="a5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ab">
    <w:name w:val="屌丝"/>
    <w:uiPriority w:val="99"/>
    <w:qFormat/>
    <w:rsid w:val="00554F37"/>
    <w:pPr>
      <w:spacing w:beforeLines="50" w:before="50" w:afterLines="50" w:after="50" w:line="360" w:lineRule="auto"/>
      <w:ind w:firstLineChars="200" w:firstLine="200"/>
      <w:jc w:val="both"/>
    </w:pPr>
    <w:rPr>
      <w:rFonts w:ascii="宋体" w:hAnsi="宋体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8CC4F-2AC7-43EE-BF57-8079C577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234</Words>
  <Characters>1335</Characters>
  <Application>Microsoft Office Word</Application>
  <DocSecurity>0</DocSecurity>
  <Lines>11</Lines>
  <Paragraphs>3</Paragraphs>
  <ScaleCrop>false</ScaleCrop>
  <Company>微软中国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附件二：投资者关系活动记录表格式</dc:title>
  <dc:creator>Administrator</dc:creator>
  <cp:lastModifiedBy>邢雯雯</cp:lastModifiedBy>
  <cp:revision>20</cp:revision>
  <dcterms:created xsi:type="dcterms:W3CDTF">2017-09-04T06:42:00Z</dcterms:created>
  <dcterms:modified xsi:type="dcterms:W3CDTF">2017-11-17T09:50:00Z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