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cs="宋体"/>
          <w:color w:val="000000"/>
          <w:sz w:val="24"/>
          <w:shd w:val="clear" w:color="050000" w:fill="auto"/>
        </w:rPr>
      </w:pPr>
      <w:r>
        <w:rPr>
          <w:rFonts w:ascii="宋体" w:hAnsi="宋体" w:cs="宋体"/>
          <w:color w:val="000000"/>
          <w:sz w:val="24"/>
          <w:shd w:val="clear" w:color="050000" w:fill="auto"/>
        </w:rPr>
        <w:t>证券代码：300407                                    证券简称：凯发电气</w:t>
      </w:r>
    </w:p>
    <w:p>
      <w:pPr>
        <w:spacing w:line="360" w:lineRule="auto"/>
        <w:jc w:val="center"/>
        <w:rPr>
          <w:rFonts w:ascii="宋体" w:hAnsi="宋体" w:cs="宋体"/>
          <w:b/>
          <w:color w:val="000000"/>
          <w:sz w:val="32"/>
          <w:shd w:val="clear" w:color="060000" w:fill="auto"/>
        </w:rPr>
      </w:pPr>
      <w:r>
        <w:rPr>
          <w:rFonts w:ascii="宋体" w:hAnsi="宋体" w:cs="宋体"/>
          <w:b/>
          <w:color w:val="000000"/>
          <w:sz w:val="32"/>
          <w:shd w:val="clear" w:color="060000" w:fill="auto"/>
        </w:rPr>
        <w:t>天津凯发电气股份有限公司投资者关系活动记录表</w:t>
      </w:r>
    </w:p>
    <w:p>
      <w:pPr>
        <w:spacing w:line="360" w:lineRule="auto"/>
        <w:rPr>
          <w:rFonts w:ascii="宋体" w:hAnsi="宋体" w:cs="宋体"/>
          <w:color w:val="000000"/>
          <w:sz w:val="24"/>
          <w:shd w:val="clear" w:color="050000" w:fill="auto"/>
        </w:rPr>
      </w:pPr>
      <w:r>
        <w:rPr>
          <w:rFonts w:ascii="宋体" w:hAnsi="宋体" w:cs="宋体"/>
          <w:color w:val="000000"/>
          <w:sz w:val="24"/>
          <w:shd w:val="clear" w:color="050000" w:fill="auto"/>
        </w:rPr>
        <w:t xml:space="preserve">                                                       编号：201</w:t>
      </w:r>
      <w:r>
        <w:rPr>
          <w:rFonts w:hint="eastAsia" w:ascii="宋体" w:hAnsi="宋体" w:cs="宋体"/>
          <w:color w:val="000000"/>
          <w:sz w:val="24"/>
          <w:shd w:val="clear" w:color="050000" w:fill="auto"/>
        </w:rPr>
        <w:t>7</w:t>
      </w:r>
      <w:r>
        <w:rPr>
          <w:rFonts w:ascii="宋体" w:hAnsi="宋体" w:cs="宋体"/>
          <w:color w:val="000000"/>
          <w:sz w:val="24"/>
          <w:shd w:val="clear" w:color="050000" w:fill="auto"/>
        </w:rPr>
        <w:t>-00</w:t>
      </w:r>
      <w:r>
        <w:rPr>
          <w:rFonts w:hint="eastAsia" w:ascii="宋体" w:hAnsi="宋体" w:cs="宋体"/>
          <w:color w:val="000000"/>
          <w:sz w:val="24"/>
          <w:shd w:val="clear" w:color="050000" w:fill="auto"/>
        </w:rPr>
        <w:t>2</w:t>
      </w:r>
    </w:p>
    <w:tbl>
      <w:tblPr>
        <w:tblStyle w:val="6"/>
        <w:tblW w:w="8522" w:type="dxa"/>
        <w:jc w:val="center"/>
        <w:tblInd w:w="0" w:type="dxa"/>
        <w:tblLayout w:type="fixed"/>
        <w:tblCellMar>
          <w:top w:w="0" w:type="dxa"/>
          <w:left w:w="108" w:type="dxa"/>
          <w:bottom w:w="0" w:type="dxa"/>
          <w:right w:w="108" w:type="dxa"/>
        </w:tblCellMar>
      </w:tblPr>
      <w:tblGrid>
        <w:gridCol w:w="2269"/>
        <w:gridCol w:w="6253"/>
      </w:tblGrid>
      <w:tr>
        <w:tblPrEx>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30000" w:fill="auto"/>
              </w:rPr>
            </w:pPr>
            <w:r>
              <w:rPr>
                <w:rFonts w:ascii="宋体" w:hAnsi="宋体" w:cs="宋体"/>
                <w:color w:val="000000"/>
                <w:sz w:val="24"/>
                <w:shd w:val="clear" w:color="050000" w:fill="auto"/>
              </w:rPr>
              <w:t>投资者关系活动类别</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 xml:space="preserve">特定对象调研        </w:t>
            </w:r>
            <w:r>
              <w:rPr>
                <w:rFonts w:ascii="宋体" w:hAnsi="宋体" w:cs="宋体"/>
                <w:color w:val="000000"/>
                <w:sz w:val="24"/>
                <w:shd w:val="clear" w:color="050000" w:fill="auto"/>
              </w:rPr>
              <w:t>□</w:t>
            </w:r>
            <w:r>
              <w:rPr>
                <w:rFonts w:ascii="宋体" w:hAnsi="宋体" w:cs="宋体"/>
                <w:sz w:val="24"/>
                <w:shd w:val="clear" w:color="050000" w:fill="auto"/>
              </w:rPr>
              <w:t>分析师会议</w:t>
            </w:r>
          </w:p>
          <w:p>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 xml:space="preserve">媒体采访            </w:t>
            </w:r>
            <w:r>
              <w:rPr>
                <w:rFonts w:ascii="宋体" w:hAnsi="宋体" w:cs="宋体"/>
                <w:color w:val="000000"/>
                <w:sz w:val="24"/>
                <w:shd w:val="clear" w:color="050000" w:fill="auto"/>
              </w:rPr>
              <w:t>□</w:t>
            </w:r>
            <w:r>
              <w:rPr>
                <w:rFonts w:ascii="宋体" w:hAnsi="宋体" w:cs="宋体"/>
                <w:sz w:val="24"/>
                <w:shd w:val="clear" w:color="050000" w:fill="auto"/>
              </w:rPr>
              <w:t>业绩说明会</w:t>
            </w:r>
          </w:p>
          <w:p>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 xml:space="preserve">新闻发布会          </w:t>
            </w:r>
            <w:r>
              <w:rPr>
                <w:rFonts w:ascii="宋体" w:hAnsi="宋体" w:cs="宋体"/>
                <w:color w:val="000000"/>
                <w:sz w:val="24"/>
                <w:shd w:val="clear" w:color="050000" w:fill="auto"/>
              </w:rPr>
              <w:t>□</w:t>
            </w:r>
            <w:r>
              <w:rPr>
                <w:rFonts w:ascii="宋体" w:hAnsi="宋体" w:cs="宋体"/>
                <w:sz w:val="24"/>
                <w:shd w:val="clear" w:color="050000" w:fill="auto"/>
              </w:rPr>
              <w:t>路演活动</w:t>
            </w:r>
          </w:p>
          <w:p>
            <w:pPr>
              <w:tabs>
                <w:tab w:val="center" w:pos="3199"/>
                <w:tab w:val="left" w:pos="3285"/>
              </w:tabs>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现场参观</w:t>
            </w:r>
            <w:r>
              <w:rPr>
                <w:rFonts w:ascii="宋体" w:hAnsi="宋体" w:cs="宋体"/>
                <w:color w:val="000000"/>
                <w:sz w:val="24"/>
                <w:shd w:val="clear" w:color="050000" w:fill="auto"/>
              </w:rPr>
              <w:tab/>
            </w:r>
            <w:r>
              <w:rPr>
                <w:rFonts w:ascii="宋体" w:hAnsi="宋体" w:cs="宋体"/>
                <w:color w:val="000000"/>
                <w:sz w:val="24"/>
                <w:shd w:val="clear" w:color="050000" w:fill="auto"/>
              </w:rPr>
              <w:t xml:space="preserve">           □</w:t>
            </w:r>
            <w:r>
              <w:rPr>
                <w:rFonts w:ascii="宋体" w:hAnsi="宋体" w:cs="宋体"/>
                <w:sz w:val="24"/>
                <w:shd w:val="clear" w:color="050000" w:fill="auto"/>
              </w:rPr>
              <w:t>一对一沟通</w:t>
            </w:r>
          </w:p>
          <w:p>
            <w:pPr>
              <w:tabs>
                <w:tab w:val="center" w:pos="3199"/>
              </w:tabs>
              <w:spacing w:line="360" w:lineRule="auto"/>
              <w:ind w:firstLine="482"/>
              <w:rPr>
                <w:rFonts w:ascii="宋体" w:hAnsi="宋体" w:cs="宋体"/>
                <w:shd w:val="clear" w:color="030000" w:fill="auto"/>
              </w:rPr>
            </w:pPr>
            <w:r>
              <w:rPr>
                <w:rFonts w:ascii="宋体" w:hAnsi="宋体" w:cs="宋体"/>
                <w:color w:val="000000"/>
                <w:sz w:val="24"/>
                <w:shd w:val="clear" w:color="050000" w:fill="auto"/>
              </w:rPr>
              <w:t>□</w:t>
            </w:r>
            <w:r>
              <w:rPr>
                <w:rFonts w:ascii="宋体" w:hAnsi="宋体" w:cs="宋体"/>
                <w:sz w:val="24"/>
                <w:shd w:val="clear" w:color="050000" w:fill="auto"/>
              </w:rPr>
              <w:t>其他 （</w:t>
            </w:r>
            <w:r>
              <w:rPr>
                <w:rFonts w:ascii="宋体" w:hAnsi="宋体" w:cs="宋体"/>
                <w:sz w:val="24"/>
                <w:u w:val="single"/>
                <w:shd w:val="clear" w:color="060000" w:fill="auto"/>
              </w:rPr>
              <w:t>请文字说明其他活动内容）</w:t>
            </w:r>
          </w:p>
        </w:tc>
      </w:tr>
      <w:tr>
        <w:tblPrEx>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30000" w:fill="auto"/>
              </w:rPr>
            </w:pPr>
            <w:r>
              <w:rPr>
                <w:rFonts w:ascii="宋体" w:hAnsi="宋体" w:cs="宋体"/>
                <w:color w:val="000000"/>
                <w:sz w:val="24"/>
                <w:shd w:val="clear" w:color="050000" w:fill="auto"/>
              </w:rPr>
              <w:t>参与单位名称及人员姓名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z w:val="24"/>
                <w:szCs w:val="24"/>
                <w:shd w:val="clear" w:color="040000" w:fill="auto"/>
              </w:rPr>
            </w:pPr>
            <w:r>
              <w:rPr>
                <w:rFonts w:hint="eastAsia" w:ascii="宋体" w:hAnsi="宋体" w:cs="宋体"/>
                <w:sz w:val="24"/>
                <w:szCs w:val="24"/>
                <w:shd w:val="clear" w:color="040000" w:fill="auto"/>
              </w:rPr>
              <w:t>长江证券       姚远</w:t>
            </w:r>
          </w:p>
          <w:p>
            <w:pPr>
              <w:spacing w:line="360" w:lineRule="auto"/>
              <w:rPr>
                <w:rFonts w:ascii="宋体" w:hAnsi="宋体" w:cs="宋体"/>
                <w:sz w:val="24"/>
                <w:szCs w:val="24"/>
                <w:shd w:val="clear" w:color="040000" w:fill="auto"/>
              </w:rPr>
            </w:pPr>
            <w:r>
              <w:rPr>
                <w:rFonts w:hint="eastAsia" w:ascii="宋体" w:hAnsi="宋体" w:cs="宋体"/>
                <w:sz w:val="24"/>
                <w:szCs w:val="24"/>
                <w:shd w:val="clear" w:color="040000" w:fill="auto"/>
              </w:rPr>
              <w:t>中欧基金       汤杰</w:t>
            </w:r>
          </w:p>
          <w:p>
            <w:pPr>
              <w:spacing w:line="360" w:lineRule="auto"/>
              <w:rPr>
                <w:rFonts w:ascii="宋体" w:hAnsi="宋体" w:cs="宋体"/>
                <w:shd w:val="clear" w:color="040000" w:fill="auto"/>
              </w:rPr>
            </w:pPr>
            <w:r>
              <w:rPr>
                <w:rFonts w:hint="eastAsia" w:ascii="宋体" w:hAnsi="宋体" w:cs="宋体"/>
                <w:sz w:val="24"/>
                <w:szCs w:val="24"/>
                <w:shd w:val="clear" w:color="040000" w:fill="auto"/>
              </w:rPr>
              <w:t>恒兴金融       王逾欧</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sz w:val="24"/>
                <w:shd w:val="clear" w:color="050000" w:fill="auto"/>
              </w:rPr>
              <w:t>时间</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hd w:val="clear" w:color="040000" w:fill="auto"/>
              </w:rPr>
            </w:pPr>
            <w:r>
              <w:rPr>
                <w:rFonts w:ascii="宋体" w:hAnsi="宋体" w:cs="宋体"/>
                <w:sz w:val="24"/>
                <w:shd w:val="clear" w:color="050000" w:fill="auto"/>
              </w:rPr>
              <w:t>201</w:t>
            </w:r>
            <w:r>
              <w:rPr>
                <w:rFonts w:hint="eastAsia" w:ascii="宋体" w:hAnsi="宋体" w:cs="宋体"/>
                <w:sz w:val="24"/>
                <w:shd w:val="clear" w:color="050000" w:fill="auto"/>
              </w:rPr>
              <w:t>7</w:t>
            </w:r>
            <w:r>
              <w:rPr>
                <w:rFonts w:ascii="宋体" w:hAnsi="宋体" w:cs="宋体"/>
                <w:sz w:val="24"/>
                <w:shd w:val="clear" w:color="050000" w:fill="auto"/>
              </w:rPr>
              <w:t>年</w:t>
            </w:r>
            <w:r>
              <w:rPr>
                <w:rFonts w:hint="eastAsia" w:ascii="宋体" w:hAnsi="宋体" w:cs="宋体"/>
                <w:sz w:val="24"/>
                <w:shd w:val="clear" w:color="050000" w:fill="auto"/>
              </w:rPr>
              <w:t>12</w:t>
            </w:r>
            <w:r>
              <w:rPr>
                <w:rFonts w:ascii="宋体" w:hAnsi="宋体" w:cs="宋体"/>
                <w:sz w:val="24"/>
                <w:shd w:val="clear" w:color="050000" w:fill="auto"/>
              </w:rPr>
              <w:t>月</w:t>
            </w:r>
            <w:r>
              <w:rPr>
                <w:rFonts w:hint="eastAsia" w:ascii="宋体" w:hAnsi="宋体" w:cs="宋体"/>
                <w:sz w:val="24"/>
                <w:shd w:val="clear" w:color="050000" w:fill="auto"/>
              </w:rPr>
              <w:t>4</w:t>
            </w:r>
            <w:r>
              <w:rPr>
                <w:rFonts w:ascii="宋体" w:hAnsi="宋体" w:cs="宋体"/>
                <w:sz w:val="24"/>
                <w:shd w:val="clear" w:color="050000" w:fill="auto"/>
              </w:rPr>
              <w:t>日</w:t>
            </w:r>
            <w:r>
              <w:rPr>
                <w:rFonts w:hint="eastAsia" w:ascii="宋体" w:hAnsi="宋体" w:cs="宋体"/>
                <w:sz w:val="24"/>
                <w:shd w:val="clear" w:color="050000" w:fill="auto"/>
              </w:rPr>
              <w:t xml:space="preserve"> 下午14：00</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sz w:val="24"/>
                <w:shd w:val="clear" w:color="050000" w:fill="auto"/>
              </w:rPr>
              <w:t>地点</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hd w:val="clear" w:color="040000" w:fill="auto"/>
              </w:rPr>
            </w:pPr>
            <w:r>
              <w:rPr>
                <w:rFonts w:hint="eastAsia" w:ascii="宋体" w:hAnsi="宋体" w:cs="宋体"/>
                <w:sz w:val="24"/>
                <w:shd w:val="clear" w:color="050000" w:fill="auto"/>
              </w:rPr>
              <w:t>天津</w:t>
            </w:r>
            <w:r>
              <w:rPr>
                <w:rFonts w:ascii="宋体" w:hAnsi="宋体" w:cs="宋体"/>
                <w:sz w:val="24"/>
                <w:shd w:val="clear" w:color="050000" w:fill="auto"/>
              </w:rPr>
              <w:t>凯发电气股份有限公司</w:t>
            </w:r>
            <w:r>
              <w:rPr>
                <w:rFonts w:hint="eastAsia" w:ascii="宋体" w:hAnsi="宋体" w:cs="宋体"/>
                <w:sz w:val="24"/>
                <w:shd w:val="clear" w:color="050000" w:fill="auto"/>
              </w:rPr>
              <w:t>会议室</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sz w:val="24"/>
                <w:shd w:val="clear" w:color="050000" w:fill="auto"/>
              </w:rPr>
              <w:t>上市公司接待人员</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120" w:firstLineChars="50"/>
              <w:rPr>
                <w:rFonts w:ascii="宋体" w:hAnsi="宋体" w:cs="宋体"/>
                <w:sz w:val="24"/>
                <w:shd w:val="clear" w:color="050000" w:fill="auto"/>
              </w:rPr>
            </w:pPr>
            <w:r>
              <w:rPr>
                <w:rFonts w:hint="eastAsia" w:ascii="宋体" w:hAnsi="宋体" w:cs="宋体"/>
                <w:sz w:val="24"/>
                <w:shd w:val="clear" w:color="050000" w:fill="auto"/>
              </w:rPr>
              <w:t>王伟（总经理）</w:t>
            </w:r>
          </w:p>
          <w:p>
            <w:pPr>
              <w:spacing w:line="360" w:lineRule="auto"/>
              <w:ind w:firstLine="120" w:firstLineChars="50"/>
              <w:rPr>
                <w:rFonts w:ascii="宋体" w:hAnsi="宋体" w:cs="宋体"/>
                <w:sz w:val="24"/>
                <w:shd w:val="clear" w:color="050000" w:fill="auto"/>
              </w:rPr>
            </w:pPr>
            <w:r>
              <w:rPr>
                <w:rFonts w:ascii="宋体" w:hAnsi="宋体" w:cs="宋体"/>
                <w:sz w:val="24"/>
                <w:shd w:val="clear" w:color="050000" w:fill="auto"/>
              </w:rPr>
              <w:t xml:space="preserve">蔡登明（董事会秘书）   </w:t>
            </w:r>
          </w:p>
          <w:p>
            <w:pPr>
              <w:spacing w:line="360" w:lineRule="auto"/>
              <w:rPr>
                <w:rFonts w:ascii="宋体" w:hAnsi="宋体" w:cs="宋体"/>
                <w:sz w:val="24"/>
                <w:shd w:val="clear" w:color="050000" w:fill="auto"/>
              </w:rPr>
            </w:pPr>
            <w:r>
              <w:rPr>
                <w:rFonts w:ascii="宋体" w:hAnsi="宋体" w:cs="宋体"/>
                <w:sz w:val="24"/>
                <w:shd w:val="clear" w:color="050000" w:fill="auto"/>
              </w:rPr>
              <w:t xml:space="preserve"> 彭蒙歌（投资者</w:t>
            </w:r>
            <w:r>
              <w:rPr>
                <w:rFonts w:hint="eastAsia" w:ascii="宋体" w:hAnsi="宋体" w:cs="宋体"/>
                <w:sz w:val="24"/>
                <w:shd w:val="clear" w:color="050000" w:fill="auto"/>
              </w:rPr>
              <w:t>关系</w:t>
            </w:r>
            <w:r>
              <w:rPr>
                <w:rFonts w:ascii="宋体" w:hAnsi="宋体" w:cs="宋体"/>
                <w:sz w:val="24"/>
                <w:shd w:val="clear" w:color="050000" w:fill="auto"/>
              </w:rPr>
              <w:t>管理专员）</w:t>
            </w:r>
            <w:r>
              <w:rPr>
                <w:rFonts w:hint="eastAsia" w:ascii="宋体" w:hAnsi="宋体" w:cs="宋体"/>
                <w:sz w:val="24"/>
                <w:shd w:val="clear" w:color="050000" w:fill="auto"/>
              </w:rPr>
              <w:t xml:space="preserve">   </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30000" w:fill="auto"/>
              </w:rPr>
            </w:pPr>
            <w:r>
              <w:rPr>
                <w:rFonts w:ascii="宋体" w:hAnsi="宋体" w:cs="宋体"/>
                <w:color w:val="000000"/>
                <w:sz w:val="24"/>
                <w:shd w:val="clear" w:color="050000" w:fill="auto"/>
              </w:rPr>
              <w:t>投资者关系活动主要内容介绍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480"/>
              <w:rPr>
                <w:rFonts w:ascii="宋体" w:hAnsi="宋体" w:cs="宋体"/>
                <w:color w:val="000000"/>
                <w:sz w:val="24"/>
                <w:szCs w:val="24"/>
                <w:shd w:val="clear" w:color="050000" w:fill="auto"/>
              </w:rPr>
            </w:pPr>
            <w:r>
              <w:rPr>
                <w:rFonts w:hint="eastAsia" w:ascii="宋体" w:hAnsi="宋体" w:cs="宋体"/>
                <w:sz w:val="24"/>
                <w:szCs w:val="24"/>
                <w:shd w:val="clear" w:color="050000" w:fill="auto"/>
              </w:rPr>
              <w:t>本次会议，三家机构人员长江证券姚远、中欧基金汤杰、恒兴金融王逾欧与公司总经理王伟、董事会秘书蔡登明就公司发行可转换公司债券、公司发展经营情况等问题展开沟通，会议主要内容纪要如下：</w:t>
            </w:r>
          </w:p>
          <w:p>
            <w:pPr>
              <w:spacing w:line="360" w:lineRule="auto"/>
              <w:ind w:firstLine="482" w:firstLineChars="200"/>
              <w:jc w:val="left"/>
              <w:rPr>
                <w:rFonts w:ascii="宋体" w:hAnsi="宋体" w:cs="宋体"/>
                <w:b/>
                <w:color w:val="000000"/>
                <w:sz w:val="24"/>
                <w:szCs w:val="24"/>
                <w:shd w:val="clear" w:color="050000" w:fill="auto"/>
              </w:rPr>
            </w:pPr>
            <w:r>
              <w:rPr>
                <w:rFonts w:hint="eastAsia" w:ascii="宋体" w:hAnsi="宋体" w:cs="宋体"/>
                <w:b/>
                <w:color w:val="000000"/>
                <w:sz w:val="24"/>
                <w:szCs w:val="24"/>
                <w:shd w:val="clear" w:color="050000" w:fill="auto"/>
              </w:rPr>
              <w:t>问题一：公司所属行业范围及公司目前订单情况如何，境内境外分别为多少？</w:t>
            </w:r>
          </w:p>
          <w:p>
            <w:pPr>
              <w:autoSpaceDE w:val="0"/>
              <w:autoSpaceDN w:val="0"/>
              <w:adjustRightInd w:val="0"/>
              <w:spacing w:line="360" w:lineRule="auto"/>
              <w:ind w:firstLine="480" w:firstLineChars="200"/>
              <w:jc w:val="left"/>
              <w:rPr>
                <w:rFonts w:ascii="宋体" w:hAnsi="宋体"/>
                <w:bCs/>
                <w:kern w:val="0"/>
                <w:sz w:val="24"/>
                <w:szCs w:val="24"/>
                <w:lang w:val="zh-CN"/>
              </w:rPr>
            </w:pPr>
            <w:r>
              <w:rPr>
                <w:rFonts w:hint="eastAsia" w:ascii="宋体" w:hAnsi="宋体" w:cs="宋体"/>
                <w:bCs/>
                <w:color w:val="000000"/>
                <w:sz w:val="24"/>
                <w:szCs w:val="24"/>
                <w:shd w:val="clear" w:color="050000" w:fill="auto"/>
              </w:rPr>
              <w:t>公司属于电气机械和器材制造业范围，</w:t>
            </w:r>
            <w:r>
              <w:rPr>
                <w:rFonts w:hint="eastAsia" w:ascii="宋体" w:hAnsi="宋体"/>
                <w:bCs/>
                <w:kern w:val="0"/>
                <w:sz w:val="24"/>
                <w:szCs w:val="24"/>
              </w:rPr>
              <w:t>截至公司三季报</w:t>
            </w:r>
            <w:r>
              <w:rPr>
                <w:rFonts w:hint="eastAsia" w:ascii="宋体" w:hAnsi="宋体"/>
                <w:bCs/>
                <w:kern w:val="0"/>
                <w:sz w:val="24"/>
                <w:szCs w:val="24"/>
                <w:lang w:val="zh-CN"/>
              </w:rPr>
              <w:t>，公司在执行合同</w:t>
            </w:r>
            <w:r>
              <w:rPr>
                <w:rFonts w:eastAsia="Times New Roman"/>
                <w:bCs/>
                <w:kern w:val="0"/>
                <w:sz w:val="24"/>
                <w:szCs w:val="24"/>
                <w:lang w:val="zh-CN"/>
              </w:rPr>
              <w:t>24.64</w:t>
            </w:r>
            <w:r>
              <w:rPr>
                <w:rFonts w:hint="eastAsia" w:ascii="宋体" w:hAnsi="宋体"/>
                <w:bCs/>
                <w:kern w:val="0"/>
                <w:sz w:val="24"/>
                <w:szCs w:val="24"/>
                <w:lang w:val="zh-CN"/>
              </w:rPr>
              <w:t>亿元，其中境内</w:t>
            </w:r>
            <w:r>
              <w:rPr>
                <w:rFonts w:eastAsia="Times New Roman"/>
                <w:bCs/>
                <w:kern w:val="0"/>
                <w:sz w:val="24"/>
                <w:szCs w:val="24"/>
                <w:lang w:val="zh-CN"/>
              </w:rPr>
              <w:t>12.83</w:t>
            </w:r>
            <w:r>
              <w:rPr>
                <w:rFonts w:hint="eastAsia" w:ascii="宋体" w:hAnsi="宋体"/>
                <w:bCs/>
                <w:kern w:val="0"/>
                <w:sz w:val="24"/>
                <w:szCs w:val="24"/>
                <w:lang w:val="zh-CN"/>
              </w:rPr>
              <w:t>亿元，境外</w:t>
            </w:r>
            <w:r>
              <w:rPr>
                <w:rFonts w:eastAsia="Times New Roman"/>
                <w:bCs/>
                <w:kern w:val="0"/>
                <w:sz w:val="24"/>
                <w:szCs w:val="24"/>
                <w:lang w:val="zh-CN"/>
              </w:rPr>
              <w:t>11.81</w:t>
            </w:r>
            <w:r>
              <w:rPr>
                <w:rFonts w:hint="eastAsia" w:ascii="宋体" w:hAnsi="宋体"/>
                <w:bCs/>
                <w:kern w:val="0"/>
                <w:sz w:val="24"/>
                <w:szCs w:val="24"/>
                <w:lang w:val="zh-CN"/>
              </w:rPr>
              <w:t>亿元。</w:t>
            </w:r>
          </w:p>
          <w:p>
            <w:pPr>
              <w:spacing w:line="360" w:lineRule="auto"/>
              <w:ind w:firstLine="480"/>
              <w:jc w:val="left"/>
              <w:rPr>
                <w:rFonts w:ascii="宋体" w:hAnsi="宋体" w:cs="宋体"/>
                <w:b/>
                <w:color w:val="000000"/>
                <w:sz w:val="24"/>
                <w:szCs w:val="24"/>
                <w:shd w:val="clear" w:color="050000" w:fill="auto"/>
              </w:rPr>
            </w:pPr>
            <w:r>
              <w:rPr>
                <w:rFonts w:hint="eastAsia" w:ascii="宋体" w:hAnsi="宋体" w:cs="宋体"/>
                <w:b/>
                <w:color w:val="000000"/>
                <w:sz w:val="24"/>
                <w:szCs w:val="24"/>
                <w:shd w:val="clear" w:color="050000" w:fill="auto"/>
              </w:rPr>
              <w:t>问题二：公司本次发行可转换公司债券主要投资项目都有什么，募投项目情况介绍？</w:t>
            </w:r>
          </w:p>
          <w:p>
            <w:pPr>
              <w:spacing w:line="360" w:lineRule="auto"/>
              <w:ind w:firstLine="480"/>
              <w:jc w:val="left"/>
              <w:rPr>
                <w:sz w:val="24"/>
                <w:szCs w:val="24"/>
              </w:rPr>
            </w:pPr>
            <w:r>
              <w:rPr>
                <w:rFonts w:hint="eastAsia"/>
                <w:sz w:val="24"/>
                <w:szCs w:val="24"/>
              </w:rPr>
              <w:t>公司本次发行可转换债券募集资金投入项目包括</w:t>
            </w:r>
            <w:r>
              <w:rPr>
                <w:sz w:val="24"/>
                <w:szCs w:val="24"/>
              </w:rPr>
              <w:t>“接触网设计及安装调试能力升级和关键零部件生产扩建项目”、“城市轨道交通直流牵引供电智能控制设备与系统升级产业化项目”、“轨道交通牵引供电关键装备技术研发平台建设项目</w:t>
            </w:r>
            <w:r>
              <w:rPr>
                <w:rFonts w:hint="eastAsia"/>
                <w:sz w:val="24"/>
                <w:szCs w:val="24"/>
              </w:rPr>
              <w:t>”三个项目。</w:t>
            </w:r>
          </w:p>
          <w:p>
            <w:pPr>
              <w:spacing w:line="360" w:lineRule="auto"/>
              <w:ind w:firstLine="480"/>
              <w:jc w:val="left"/>
              <w:rPr>
                <w:rFonts w:ascii="宋体" w:hAnsi="宋体" w:cs="宋体"/>
                <w:sz w:val="24"/>
                <w:szCs w:val="24"/>
              </w:rPr>
            </w:pPr>
            <w:r>
              <w:rPr>
                <w:rFonts w:hint="eastAsia"/>
                <w:sz w:val="24"/>
                <w:szCs w:val="24"/>
              </w:rPr>
              <w:t>项目一</w:t>
            </w:r>
            <w:r>
              <w:rPr>
                <w:rFonts w:ascii="宋体" w:hAnsi="宋体" w:cs="宋体"/>
                <w:sz w:val="24"/>
                <w:szCs w:val="24"/>
              </w:rPr>
              <w:t>接触网设计及安装调试能力升级和关键零部件生产扩建项目</w:t>
            </w:r>
            <w:r>
              <w:rPr>
                <w:rFonts w:hint="eastAsia" w:ascii="宋体" w:hAnsi="宋体" w:cs="宋体"/>
                <w:sz w:val="24"/>
                <w:szCs w:val="24"/>
              </w:rPr>
              <w:t>，</w:t>
            </w:r>
            <w:r>
              <w:rPr>
                <w:rFonts w:ascii="宋体" w:hAnsi="宋体" w:cs="宋体"/>
                <w:sz w:val="24"/>
                <w:szCs w:val="24"/>
              </w:rPr>
              <w:t xml:space="preserve">建设包括接触网设计软件开发及功能提升扩展、施工装备升级换代、 接触网零部件生产线升级和新型接触网关键零部件研制。接触网设计软件开发及 功能提升扩展是为了满足 BIM 软件的兼容要求，配置和开发满足德国标准和欧 洲标准的专业化软件，实现设计、加工、采购、财务等信息交互接口，进一步提 升设计水平及生产组织效率，同时满足未来国际化项目实施需求。接触网施工装备升级换代，一方面可解决 RPS 施工装备老龄化问题，另一方面将提升施工、 调试一体化水平，全面改善施工工艺，提升工程实施能力和工程质量，满足未来 业务增长的需求。接触网零部件生产线升级拟提升智能化制造水平，实现设计、 制造一体化，实现技术水平、质量、效率和生产能力的全面提升。 </w:t>
            </w:r>
          </w:p>
          <w:p>
            <w:pPr>
              <w:spacing w:before="240" w:after="156" w:afterLines="50" w:line="360" w:lineRule="auto"/>
              <w:ind w:firstLine="480" w:firstLineChars="200"/>
              <w:rPr>
                <w:rFonts w:ascii="宋体" w:hAnsi="宋体" w:cs="宋体"/>
                <w:sz w:val="24"/>
                <w:szCs w:val="24"/>
              </w:rPr>
            </w:pPr>
            <w:r>
              <w:rPr>
                <w:rFonts w:hint="eastAsia" w:ascii="宋体" w:hAnsi="宋体" w:cs="宋体"/>
                <w:sz w:val="24"/>
                <w:szCs w:val="24"/>
              </w:rPr>
              <w:t>项目二</w:t>
            </w:r>
            <w:r>
              <w:rPr>
                <w:rFonts w:ascii="宋体" w:hAnsi="宋体" w:cs="宋体"/>
                <w:sz w:val="24"/>
                <w:szCs w:val="24"/>
              </w:rPr>
              <w:t>城市轨道交通直流牵引供电智能控制设备与系统升级产业化项目</w:t>
            </w:r>
            <w:r>
              <w:rPr>
                <w:rFonts w:hint="eastAsia" w:ascii="宋体" w:hAnsi="宋体" w:cs="宋体"/>
                <w:sz w:val="24"/>
                <w:szCs w:val="24"/>
              </w:rPr>
              <w:t>，</w:t>
            </w:r>
            <w:r>
              <w:rPr>
                <w:rFonts w:ascii="宋体" w:hAnsi="宋体" w:cs="宋体"/>
                <w:sz w:val="24"/>
                <w:szCs w:val="24"/>
              </w:rPr>
              <w:t>建设包括城市轨道交通直流牵引供电智能控制设备与系统研发升级、实验室建设及生产线建设。城市轨道交通直流牵引供电智能控制设备与系统研发升级包括智能直流控制设备和直流保护与控制系统。通过本项目建设，公司将对现有的直流牵引供电控制设备与系统进行研发升 级</w:t>
            </w:r>
            <w:r>
              <w:rPr>
                <w:rFonts w:hint="eastAsia" w:ascii="宋体" w:hAnsi="宋体" w:cs="宋体"/>
                <w:sz w:val="24"/>
                <w:szCs w:val="24"/>
              </w:rPr>
              <w:t>，</w:t>
            </w:r>
            <w:r>
              <w:rPr>
                <w:rFonts w:ascii="宋体" w:hAnsi="宋体" w:cs="宋体"/>
                <w:sz w:val="24"/>
                <w:szCs w:val="24"/>
              </w:rPr>
              <w:t>实现直流牵引供电控制设备与系统的智能化、小型化、国产化目标</w:t>
            </w:r>
            <w:r>
              <w:rPr>
                <w:rFonts w:hint="eastAsia" w:ascii="宋体" w:hAnsi="宋体" w:cs="宋体"/>
                <w:sz w:val="24"/>
                <w:szCs w:val="24"/>
              </w:rPr>
              <w:t>，</w:t>
            </w:r>
            <w:r>
              <w:rPr>
                <w:rFonts w:ascii="宋体" w:hAnsi="宋体" w:cs="宋体"/>
                <w:sz w:val="24"/>
                <w:szCs w:val="24"/>
              </w:rPr>
              <w:t>并且扩大生产能力，促进公司在城市轨道交通直流牵引供电领域的快速发展，提高市场 整体竞争能力。</w:t>
            </w:r>
          </w:p>
          <w:p>
            <w:pPr>
              <w:autoSpaceDE w:val="0"/>
              <w:autoSpaceDN w:val="0"/>
              <w:adjustRightInd w:val="0"/>
              <w:spacing w:line="360" w:lineRule="auto"/>
              <w:ind w:firstLine="480" w:firstLineChars="200"/>
              <w:jc w:val="left"/>
              <w:rPr>
                <w:rFonts w:ascii="宋体" w:hAnsi="宋体"/>
                <w:bCs/>
                <w:kern w:val="0"/>
                <w:sz w:val="24"/>
                <w:szCs w:val="24"/>
                <w:lang w:val="zh-CN"/>
              </w:rPr>
            </w:pPr>
            <w:r>
              <w:rPr>
                <w:rFonts w:hint="eastAsia" w:ascii="宋体" w:hAnsi="宋体" w:cs="宋体"/>
                <w:sz w:val="24"/>
                <w:szCs w:val="24"/>
              </w:rPr>
              <w:t>项目三</w:t>
            </w:r>
            <w:r>
              <w:rPr>
                <w:rFonts w:ascii="宋体" w:hAnsi="宋体" w:cs="宋体"/>
                <w:sz w:val="24"/>
                <w:szCs w:val="24"/>
              </w:rPr>
              <w:t>轨道交通牵引供电关键装备技术研发平台建设项目</w:t>
            </w:r>
            <w:r>
              <w:rPr>
                <w:rFonts w:hint="eastAsia" w:ascii="宋体" w:hAnsi="宋体" w:cs="宋体"/>
                <w:sz w:val="24"/>
                <w:szCs w:val="24"/>
              </w:rPr>
              <w:t>，</w:t>
            </w:r>
            <w:r>
              <w:rPr>
                <w:rFonts w:ascii="宋体" w:hAnsi="宋体" w:cs="宋体"/>
                <w:sz w:val="24"/>
                <w:szCs w:val="24"/>
              </w:rPr>
              <w:t>拟建设接触网关键零部件实验测试中心和大功率电 力电子测试实验中心。 其中，公司拟在建设接触网关键零部件实验测试中心的基础上对RPS的接触网关键零部件的核心技术进行成果转化、技术升级和生产流程工艺优化，以达 到后续国产化的目的。同时，公司拟在建设大功率电力电子测试实验中心的基础 上研究新一代城市轨道交通牵引供电双向变流技术，研制基于双向变流器的城市轨道交通牵引供电系统平台。</w:t>
            </w:r>
          </w:p>
          <w:p>
            <w:pPr>
              <w:spacing w:line="360" w:lineRule="auto"/>
              <w:ind w:firstLine="482" w:firstLineChars="200"/>
              <w:jc w:val="left"/>
              <w:rPr>
                <w:sz w:val="24"/>
                <w:szCs w:val="24"/>
              </w:rPr>
            </w:pPr>
            <w:r>
              <w:rPr>
                <w:rFonts w:hint="eastAsia"/>
                <w:b/>
                <w:bCs/>
                <w:sz w:val="24"/>
                <w:szCs w:val="24"/>
              </w:rPr>
              <w:t>问题三：公司营业收入全年是否均匀？</w:t>
            </w:r>
          </w:p>
          <w:p>
            <w:pPr>
              <w:autoSpaceDE w:val="0"/>
              <w:autoSpaceDN w:val="0"/>
              <w:adjustRightInd w:val="0"/>
              <w:spacing w:line="360" w:lineRule="auto"/>
              <w:ind w:firstLine="480" w:firstLineChars="200"/>
              <w:jc w:val="left"/>
              <w:rPr>
                <w:sz w:val="24"/>
                <w:szCs w:val="24"/>
              </w:rPr>
            </w:pPr>
            <w:r>
              <w:rPr>
                <w:kern w:val="0"/>
                <w:sz w:val="24"/>
                <w:szCs w:val="24"/>
              </w:rPr>
              <w:t>公司营业收入并不均匀，存在季节的波动性。</w:t>
            </w:r>
            <w:r>
              <w:rPr>
                <w:kern w:val="0"/>
                <w:sz w:val="24"/>
                <w:szCs w:val="24"/>
                <w:lang w:val="zh-CN"/>
              </w:rPr>
              <w:t>轨道交通基本建设项目受一定客观条件的制约，上半年由于节日假期、天气寒冷等因素，竣工项目相对较少，其计划竣工时间多为下半年。通常情况下，公司下半年的营业收入明显高于上半年，呈现一定的季节性特征。由于收入主要在下半年实现，而费用在年内较为均衡地发生，因此通常会导致公司上半年经营业绩占全年业绩的比例较低，特别是第一季度可能还会出现亏损的情况。</w:t>
            </w:r>
            <w:r>
              <w:rPr>
                <w:rFonts w:hint="eastAsia"/>
                <w:kern w:val="0"/>
                <w:sz w:val="24"/>
                <w:szCs w:val="24"/>
              </w:rPr>
              <w:t>所以</w:t>
            </w:r>
            <w:r>
              <w:rPr>
                <w:kern w:val="0"/>
                <w:sz w:val="24"/>
                <w:szCs w:val="24"/>
                <w:lang w:val="zh-CN"/>
              </w:rPr>
              <w:t>不宜以季度数据、半年度数据推测全年经营状况。随着公司产品线拓宽以及在城市轨道交通行业市场占有率的提高，收入波动会趋于好转</w:t>
            </w:r>
            <w:r>
              <w:rPr>
                <w:rFonts w:hint="eastAsia"/>
                <w:kern w:val="0"/>
                <w:sz w:val="24"/>
                <w:szCs w:val="24"/>
                <w:lang w:val="zh-CN"/>
              </w:rPr>
              <w:t>。</w:t>
            </w:r>
          </w:p>
          <w:p>
            <w:pPr>
              <w:spacing w:line="360" w:lineRule="auto"/>
              <w:ind w:firstLine="482" w:firstLineChars="200"/>
              <w:jc w:val="left"/>
              <w:rPr>
                <w:b/>
                <w:bCs/>
                <w:sz w:val="24"/>
                <w:szCs w:val="24"/>
              </w:rPr>
            </w:pPr>
            <w:r>
              <w:rPr>
                <w:b/>
                <w:sz w:val="24"/>
                <w:szCs w:val="24"/>
              </w:rPr>
              <w:t>问题四，</w:t>
            </w:r>
            <w:r>
              <w:rPr>
                <w:b/>
                <w:bCs/>
                <w:sz w:val="24"/>
                <w:szCs w:val="24"/>
              </w:rPr>
              <w:t>公司境外全资子公司RPSS的业务情况如何？</w:t>
            </w:r>
          </w:p>
          <w:p>
            <w:pPr>
              <w:spacing w:line="360" w:lineRule="auto"/>
              <w:jc w:val="left"/>
              <w:rPr>
                <w:sz w:val="24"/>
                <w:szCs w:val="24"/>
              </w:rPr>
            </w:pPr>
            <w:r>
              <w:rPr>
                <w:rFonts w:hint="eastAsia" w:ascii="宋体" w:hAnsi="宋体" w:cs="宋体"/>
                <w:b/>
                <w:bCs/>
                <w:sz w:val="24"/>
                <w:szCs w:val="24"/>
              </w:rPr>
              <w:t xml:space="preserve">    </w:t>
            </w:r>
            <w:r>
              <w:rPr>
                <w:sz w:val="24"/>
                <w:szCs w:val="24"/>
              </w:rPr>
              <w:t>公司已将RPSS信号业务出售，于 2017 年 9 月 2 日（德国慕尼黑时间 2017 年 9 月 1 日），完成了 RPSS 信号业 务涉及相关资产、合同及人员的交割事宜。</w:t>
            </w:r>
          </w:p>
          <w:p>
            <w:pPr>
              <w:spacing w:line="360" w:lineRule="auto"/>
              <w:ind w:firstLine="482" w:firstLineChars="200"/>
              <w:jc w:val="left"/>
              <w:rPr>
                <w:b/>
                <w:bCs/>
                <w:sz w:val="24"/>
                <w:szCs w:val="24"/>
              </w:rPr>
            </w:pPr>
            <w:r>
              <w:rPr>
                <w:b/>
                <w:bCs/>
                <w:sz w:val="24"/>
                <w:szCs w:val="24"/>
              </w:rPr>
              <w:t>问题五：出售RPSS对公司是否造成影响？</w:t>
            </w:r>
          </w:p>
          <w:p>
            <w:pPr>
              <w:spacing w:line="360" w:lineRule="auto"/>
              <w:ind w:firstLine="480" w:firstLineChars="200"/>
              <w:jc w:val="left"/>
              <w:rPr>
                <w:sz w:val="24"/>
                <w:szCs w:val="24"/>
              </w:rPr>
            </w:pPr>
            <w:r>
              <w:rPr>
                <w:sz w:val="24"/>
                <w:szCs w:val="24"/>
              </w:rPr>
              <w:t>公司出售RPSS信号业务，不会导致合并报表范围发生变更。本次交易符合公司整体发展战略，有助于进一步优化战略布局，使公司更加专注于主营业务的技术创新及市场开拓，提高运营和管理效率</w:t>
            </w:r>
            <w:r>
              <w:rPr>
                <w:rFonts w:hint="eastAsia"/>
                <w:sz w:val="24"/>
                <w:szCs w:val="24"/>
              </w:rPr>
              <w:t>，</w:t>
            </w:r>
            <w:r>
              <w:rPr>
                <w:sz w:val="24"/>
                <w:szCs w:val="24"/>
              </w:rPr>
              <w:t>符合公司和全体股东利益。</w:t>
            </w:r>
          </w:p>
          <w:p>
            <w:pPr>
              <w:spacing w:line="360" w:lineRule="auto"/>
              <w:ind w:firstLine="482" w:firstLineChars="200"/>
              <w:jc w:val="left"/>
              <w:rPr>
                <w:b/>
                <w:bCs/>
                <w:sz w:val="24"/>
                <w:szCs w:val="24"/>
              </w:rPr>
            </w:pPr>
            <w:r>
              <w:rPr>
                <w:rFonts w:hint="eastAsia"/>
                <w:b/>
                <w:bCs/>
                <w:sz w:val="24"/>
                <w:szCs w:val="24"/>
              </w:rPr>
              <w:t>问题六：公司应收账款是否存在坏账风险？</w:t>
            </w:r>
          </w:p>
          <w:p>
            <w:pPr>
              <w:spacing w:line="360" w:lineRule="auto"/>
              <w:ind w:firstLine="480" w:firstLineChars="200"/>
              <w:jc w:val="left"/>
              <w:rPr>
                <w:sz w:val="24"/>
                <w:szCs w:val="24"/>
              </w:rPr>
            </w:pPr>
            <w:r>
              <w:rPr>
                <w:sz w:val="24"/>
                <w:szCs w:val="24"/>
              </w:rPr>
              <w:t>公司客户主要包括中铁电气化局各项目部或地铁公司等，虽然客户实力雄厚且信誉良好，应收账款回收状况正常，但随着公司经营规模的扩大，应收账款绝对金额将逐步增加，如宏观经济环境、客户经营状况发生变化或公司采取的收款措施不力，应收账款将面临发生坏账损失的风险。</w:t>
            </w:r>
          </w:p>
          <w:p>
            <w:pPr>
              <w:spacing w:line="360" w:lineRule="auto"/>
              <w:ind w:firstLine="480" w:firstLineChars="200"/>
              <w:jc w:val="left"/>
              <w:rPr>
                <w:sz w:val="24"/>
                <w:szCs w:val="24"/>
              </w:rPr>
            </w:pPr>
            <w:r>
              <w:rPr>
                <w:rFonts w:hint="eastAsia"/>
                <w:sz w:val="24"/>
                <w:szCs w:val="24"/>
              </w:rPr>
              <w:t>公司为避免坏账，公司在项目前期注意对项目应收账款的评估，项目后期加大应收账款回收力度。另外公司财务报表应收账款坏账计提已给予谨慎的计提比例。</w:t>
            </w:r>
          </w:p>
          <w:p>
            <w:pPr>
              <w:spacing w:line="360" w:lineRule="auto"/>
              <w:ind w:firstLine="482" w:firstLineChars="200"/>
              <w:jc w:val="left"/>
              <w:rPr>
                <w:b/>
                <w:bCs/>
                <w:sz w:val="24"/>
                <w:szCs w:val="24"/>
              </w:rPr>
            </w:pPr>
            <w:r>
              <w:rPr>
                <w:b/>
                <w:bCs/>
                <w:sz w:val="24"/>
                <w:szCs w:val="24"/>
              </w:rPr>
              <w:t>问题七：公司合同确认收入需要多久？</w:t>
            </w:r>
          </w:p>
          <w:p>
            <w:pPr>
              <w:spacing w:line="360" w:lineRule="auto"/>
              <w:ind w:firstLine="480" w:firstLineChars="200"/>
              <w:jc w:val="left"/>
              <w:rPr>
                <w:sz w:val="24"/>
                <w:szCs w:val="24"/>
              </w:rPr>
            </w:pPr>
            <w:r>
              <w:rPr>
                <w:sz w:val="24"/>
                <w:szCs w:val="24"/>
              </w:rPr>
              <w:t>电气化铁路一般为2年左右能够确认收入，而城市轨道交通方面则需要2-3年左右。个别项目存在分期完成的特性，间隔时间较长，确认收入时间可能需要5年。</w:t>
            </w:r>
          </w:p>
          <w:p>
            <w:pPr>
              <w:spacing w:line="360" w:lineRule="auto"/>
              <w:ind w:firstLine="482" w:firstLineChars="200"/>
              <w:jc w:val="left"/>
              <w:rPr>
                <w:b/>
                <w:bCs/>
                <w:sz w:val="24"/>
                <w:szCs w:val="24"/>
              </w:rPr>
            </w:pPr>
            <w:r>
              <w:rPr>
                <w:b/>
                <w:bCs/>
                <w:sz w:val="24"/>
                <w:szCs w:val="24"/>
              </w:rPr>
              <w:t>问题八：公司发行可转换公司债券目前进展情况？</w:t>
            </w:r>
          </w:p>
          <w:p>
            <w:pPr>
              <w:spacing w:line="360" w:lineRule="auto"/>
              <w:ind w:firstLine="480" w:firstLineChars="200"/>
              <w:jc w:val="left"/>
              <w:rPr>
                <w:sz w:val="24"/>
                <w:szCs w:val="24"/>
              </w:rPr>
            </w:pPr>
            <w:r>
              <w:rPr>
                <w:sz w:val="24"/>
                <w:szCs w:val="24"/>
              </w:rPr>
              <w:t>今年9 月11日公司收到中国证监会出具的《中国证监会行政许可项目审查一次反馈意见通知书》，收到反馈意见后，公司会同广发证券股份有限公司及其他中介机构就反馈意见进行了研究和讨论，积极准备答复和核查工作。在2017 年11月6日向中国证监会报送反馈意见回复及相关资料。</w:t>
            </w:r>
          </w:p>
          <w:p>
            <w:pPr>
              <w:spacing w:line="360" w:lineRule="auto"/>
              <w:ind w:firstLine="482" w:firstLineChars="200"/>
              <w:jc w:val="left"/>
              <w:rPr>
                <w:sz w:val="24"/>
                <w:szCs w:val="24"/>
              </w:rPr>
            </w:pPr>
            <w:r>
              <w:rPr>
                <w:b/>
                <w:bCs/>
                <w:sz w:val="24"/>
                <w:szCs w:val="24"/>
              </w:rPr>
              <w:t>问题九：接触网项目的销售及盈利模式是怎样的？</w:t>
            </w:r>
          </w:p>
          <w:p>
            <w:pPr>
              <w:spacing w:before="156" w:beforeLines="50" w:line="360" w:lineRule="auto"/>
              <w:ind w:firstLine="480" w:firstLineChars="200"/>
              <w:rPr>
                <w:sz w:val="24"/>
                <w:szCs w:val="24"/>
              </w:rPr>
            </w:pPr>
            <w:r>
              <w:rPr>
                <w:sz w:val="24"/>
                <w:szCs w:val="24"/>
              </w:rPr>
              <w:t>RPS参与的接触网业务项目类型可分为三类：一是接触网业务总包项目；二是接触网业务分包项目，通常由大型土建工程企业作为总包商；三是由德联邦铁路集团直接采购的小额接触网零部件和服务项目。对于上述第一类总包项目，作为德国境内最大的接触网项目承接单位之一，RPS具有较强的施工能力，可独立参与项目招标；对于上述第二类分包项目，土建工程总包商通常不具有接触网领域专业能力，需要将其分包给接触网业务供应商完成，由于RPS具有较强的设计、生产、安装和施工能力，因此土建工程总包商会将RPS作为主要分包商之一；对于第三类小额项目，由于RPS拥有德联邦铁路集团的一级供应商资质和接触网业务合格施工资质，且多年来与德联邦铁路集团保持较为紧密的合作关系，因而小额配件类合同通常由德联邦铁路集团直接向RPS采购完成。</w:t>
            </w:r>
          </w:p>
          <w:p>
            <w:pPr>
              <w:spacing w:before="156" w:beforeLines="50" w:line="360" w:lineRule="auto"/>
              <w:ind w:firstLine="482" w:firstLineChars="200"/>
              <w:rPr>
                <w:b/>
                <w:bCs/>
                <w:sz w:val="24"/>
                <w:szCs w:val="24"/>
              </w:rPr>
            </w:pPr>
            <w:r>
              <w:rPr>
                <w:rFonts w:hint="eastAsia"/>
                <w:b/>
                <w:bCs/>
                <w:sz w:val="24"/>
                <w:szCs w:val="24"/>
              </w:rPr>
              <w:t>问题十：RPS公司的项目主要分部在哪些国家？</w:t>
            </w:r>
          </w:p>
          <w:p>
            <w:pPr>
              <w:spacing w:before="156" w:beforeLines="50" w:line="360" w:lineRule="auto"/>
              <w:ind w:firstLine="480" w:firstLineChars="200"/>
              <w:rPr>
                <w:sz w:val="24"/>
                <w:szCs w:val="24"/>
              </w:rPr>
            </w:pPr>
            <w:r>
              <w:rPr>
                <w:rFonts w:hint="eastAsia"/>
                <w:sz w:val="24"/>
                <w:szCs w:val="24"/>
              </w:rPr>
              <w:t>RPS公司的大部分项目在德国境内，</w:t>
            </w:r>
            <w:r>
              <w:rPr>
                <w:sz w:val="24"/>
                <w:szCs w:val="24"/>
              </w:rPr>
              <w:t>凭借丰富的国际项目经验和先进的技术水平，RPS在欧洲地区曾广泛参与其他国家的接触网项目，如土耳其安卡拉-科尼亚线和埃斯基谢希尔轻轨延长线、挪威希恩车辆段、罗马尼亚布加勒斯特-菲泰斯蒂-康斯坦察港线、瑞士苏黎世直径线和圣哥达基线隧道等。同时，RPS还拓展了包括美国、中国等国家在内的美洲和亚洲市场。</w:t>
            </w:r>
          </w:p>
          <w:p>
            <w:pPr>
              <w:spacing w:before="156" w:beforeLines="50" w:line="360" w:lineRule="auto"/>
              <w:ind w:firstLine="482" w:firstLineChars="200"/>
              <w:rPr>
                <w:b/>
                <w:bCs/>
                <w:sz w:val="24"/>
                <w:szCs w:val="24"/>
              </w:rPr>
            </w:pPr>
            <w:r>
              <w:rPr>
                <w:rFonts w:hint="eastAsia"/>
                <w:b/>
                <w:bCs/>
                <w:sz w:val="24"/>
                <w:szCs w:val="24"/>
              </w:rPr>
              <w:t>问题十一：天津保富的主营业务？</w:t>
            </w:r>
          </w:p>
          <w:p>
            <w:pPr>
              <w:spacing w:before="156" w:beforeLines="50" w:line="360" w:lineRule="auto"/>
              <w:ind w:firstLine="480" w:firstLineChars="200"/>
              <w:rPr>
                <w:sz w:val="24"/>
                <w:szCs w:val="24"/>
              </w:rPr>
            </w:pPr>
            <w:r>
              <w:rPr>
                <w:rFonts w:hint="eastAsia" w:ascii="宋体" w:hAnsi="宋体" w:cs="宋体"/>
                <w:color w:val="000000"/>
                <w:sz w:val="24"/>
                <w:szCs w:val="24"/>
              </w:rPr>
              <w:t>天津保富的经营范围包括开发、生产、销售适用于城市轨道交通及铁路的直流开关柜和其他电气设备；提供技术咨询及售后服务。</w:t>
            </w:r>
          </w:p>
          <w:p>
            <w:pPr>
              <w:spacing w:line="360" w:lineRule="auto"/>
              <w:ind w:firstLine="482" w:firstLineChars="200"/>
              <w:jc w:val="left"/>
              <w:rPr>
                <w:b/>
                <w:bCs/>
                <w:sz w:val="24"/>
                <w:szCs w:val="24"/>
              </w:rPr>
            </w:pPr>
            <w:r>
              <w:rPr>
                <w:b/>
                <w:bCs/>
                <w:sz w:val="24"/>
                <w:szCs w:val="24"/>
              </w:rPr>
              <w:t>问题十二：公司项目合同来源？</w:t>
            </w:r>
          </w:p>
          <w:p>
            <w:pPr>
              <w:spacing w:line="360" w:lineRule="auto"/>
              <w:ind w:firstLine="480" w:firstLineChars="200"/>
              <w:jc w:val="left"/>
              <w:rPr>
                <w:sz w:val="24"/>
                <w:szCs w:val="24"/>
              </w:rPr>
            </w:pPr>
            <w:r>
              <w:rPr>
                <w:sz w:val="24"/>
                <w:szCs w:val="24"/>
              </w:rPr>
              <w:t>公司项目合同主要通过招投标方式取得。</w:t>
            </w:r>
          </w:p>
          <w:p>
            <w:pPr>
              <w:spacing w:line="360" w:lineRule="auto"/>
              <w:ind w:firstLine="482" w:firstLineChars="200"/>
              <w:jc w:val="left"/>
              <w:rPr>
                <w:b/>
                <w:bCs/>
                <w:sz w:val="24"/>
                <w:szCs w:val="24"/>
              </w:rPr>
            </w:pPr>
            <w:r>
              <w:rPr>
                <w:b/>
                <w:bCs/>
                <w:sz w:val="24"/>
                <w:szCs w:val="24"/>
              </w:rPr>
              <w:t>问题十三：本次公司发行可转换公司债券是否会用于偿还公司贷款？</w:t>
            </w:r>
          </w:p>
          <w:p>
            <w:pPr>
              <w:spacing w:line="360" w:lineRule="auto"/>
              <w:ind w:firstLine="480" w:firstLineChars="200"/>
              <w:jc w:val="left"/>
              <w:rPr>
                <w:sz w:val="24"/>
                <w:szCs w:val="24"/>
              </w:rPr>
            </w:pPr>
            <w:r>
              <w:rPr>
                <w:sz w:val="24"/>
                <w:szCs w:val="24"/>
              </w:rPr>
              <w:t>公司本次发行可转换债券募投项目中不包含偿还公司贷款，公司不会用于偿还银行贷款。</w:t>
            </w:r>
          </w:p>
          <w:p>
            <w:pPr>
              <w:spacing w:line="360" w:lineRule="auto"/>
              <w:ind w:firstLine="482" w:firstLineChars="200"/>
              <w:jc w:val="left"/>
              <w:rPr>
                <w:b/>
                <w:bCs/>
                <w:sz w:val="24"/>
                <w:szCs w:val="24"/>
              </w:rPr>
            </w:pPr>
            <w:r>
              <w:rPr>
                <w:b/>
                <w:bCs/>
                <w:sz w:val="24"/>
                <w:szCs w:val="24"/>
              </w:rPr>
              <w:t>问题十四：天津保富的销售模式？</w:t>
            </w:r>
          </w:p>
          <w:p>
            <w:pPr>
              <w:spacing w:before="156" w:beforeLines="50" w:line="360" w:lineRule="auto"/>
              <w:ind w:firstLine="480" w:firstLineChars="200"/>
              <w:rPr>
                <w:sz w:val="24"/>
                <w:szCs w:val="24"/>
              </w:rPr>
            </w:pPr>
            <w:r>
              <w:rPr>
                <w:rFonts w:hint="eastAsia"/>
                <w:sz w:val="24"/>
                <w:szCs w:val="24"/>
              </w:rPr>
              <w:t>天津保富借助凯发电气在</w:t>
            </w:r>
            <w:r>
              <w:rPr>
                <w:sz w:val="24"/>
                <w:szCs w:val="24"/>
              </w:rPr>
              <w:t>行业内的市场优势，</w:t>
            </w:r>
            <w:r>
              <w:rPr>
                <w:rFonts w:hint="eastAsia"/>
                <w:sz w:val="24"/>
                <w:szCs w:val="24"/>
              </w:rPr>
              <w:t>天津保富</w:t>
            </w:r>
            <w:r>
              <w:rPr>
                <w:sz w:val="24"/>
                <w:szCs w:val="24"/>
              </w:rPr>
              <w:t>产品销售统一由</w:t>
            </w:r>
            <w:r>
              <w:rPr>
                <w:rFonts w:hint="eastAsia"/>
                <w:sz w:val="24"/>
                <w:szCs w:val="24"/>
              </w:rPr>
              <w:t>凯发电气</w:t>
            </w:r>
            <w:r>
              <w:rPr>
                <w:sz w:val="24"/>
                <w:szCs w:val="24"/>
              </w:rPr>
              <w:t>组织，根据招标项目对投标企业的商务条件要求由</w:t>
            </w:r>
            <w:r>
              <w:rPr>
                <w:rFonts w:hint="eastAsia"/>
                <w:sz w:val="24"/>
                <w:szCs w:val="24"/>
              </w:rPr>
              <w:t>凯发电气</w:t>
            </w:r>
            <w:r>
              <w:rPr>
                <w:sz w:val="24"/>
                <w:szCs w:val="24"/>
              </w:rPr>
              <w:t>或天津保富作为投标主体进行投标。</w:t>
            </w:r>
            <w:r>
              <w:rPr>
                <w:rFonts w:hint="eastAsia"/>
                <w:sz w:val="24"/>
                <w:szCs w:val="24"/>
              </w:rPr>
              <w:t>凯发电气</w:t>
            </w:r>
            <w:r>
              <w:rPr>
                <w:sz w:val="24"/>
                <w:szCs w:val="24"/>
              </w:rPr>
              <w:t>以核心技术和既往项目经验为基础，结合行业未来发展趋势，通过自主技术研发及引入先进技术等途径对现有产品进行技术升级和产品迭代，并以参与招投标等途径向终端客户提供新型产品，同时提供配套的售前、售中和售后服务。</w:t>
            </w:r>
          </w:p>
          <w:p>
            <w:pPr>
              <w:spacing w:before="156" w:beforeLines="50" w:line="360" w:lineRule="auto"/>
              <w:ind w:firstLine="482" w:firstLineChars="200"/>
              <w:rPr>
                <w:b/>
                <w:bCs/>
                <w:sz w:val="24"/>
                <w:szCs w:val="24"/>
              </w:rPr>
            </w:pPr>
            <w:r>
              <w:rPr>
                <w:b/>
                <w:bCs/>
                <w:sz w:val="24"/>
                <w:szCs w:val="24"/>
              </w:rPr>
              <w:t>问题十五：目前是否有计划做国内项目并购？</w:t>
            </w:r>
          </w:p>
          <w:p>
            <w:pPr>
              <w:spacing w:before="156" w:beforeLines="50" w:line="360" w:lineRule="auto"/>
              <w:ind w:firstLine="480" w:firstLineChars="200"/>
              <w:rPr>
                <w:sz w:val="24"/>
                <w:szCs w:val="24"/>
              </w:rPr>
            </w:pPr>
            <w:r>
              <w:rPr>
                <w:sz w:val="24"/>
                <w:szCs w:val="24"/>
              </w:rPr>
              <w:t>目前公司没有做国内项目并购的机会，如有也会继续选择与公司行业相关的企业。</w:t>
            </w:r>
          </w:p>
          <w:p>
            <w:pPr>
              <w:spacing w:before="156" w:beforeLines="50" w:line="360" w:lineRule="auto"/>
              <w:ind w:firstLine="482" w:firstLineChars="200"/>
              <w:rPr>
                <w:b/>
                <w:bCs/>
                <w:sz w:val="24"/>
                <w:szCs w:val="24"/>
              </w:rPr>
            </w:pPr>
            <w:r>
              <w:rPr>
                <w:b/>
                <w:bCs/>
                <w:sz w:val="24"/>
                <w:szCs w:val="24"/>
              </w:rPr>
              <w:t>问题十六：公司终止非公开发行股票的原因？</w:t>
            </w:r>
          </w:p>
          <w:p>
            <w:pPr>
              <w:autoSpaceDE w:val="0"/>
              <w:autoSpaceDN w:val="0"/>
              <w:adjustRightInd w:val="0"/>
              <w:spacing w:line="360" w:lineRule="auto"/>
              <w:ind w:firstLine="480"/>
              <w:jc w:val="left"/>
              <w:rPr>
                <w:kern w:val="0"/>
                <w:sz w:val="24"/>
                <w:szCs w:val="24"/>
                <w:lang w:val="zh-CN"/>
              </w:rPr>
            </w:pPr>
            <w:r>
              <w:rPr>
                <w:sz w:val="24"/>
                <w:szCs w:val="24"/>
              </w:rPr>
              <w:t>公司经综合考虑目前资本市场整体环境及公司实际情况等诸多因素，并同保荐机构反复沟通后，</w:t>
            </w:r>
            <w:r>
              <w:rPr>
                <w:kern w:val="0"/>
                <w:sz w:val="24"/>
                <w:szCs w:val="24"/>
                <w:lang w:val="zh-CN"/>
              </w:rPr>
              <w:t>公司终止了关于非公开发行股票的相关议案事项，开启关于公司公开发行可转换公司债券等相关事项，公司将通过融资行为在充实实力的同时，加快推进技术引进和产品创新步伐，巩固和提升公司的行业地位和核心竞争力，进一步提升公司营运能力和盈利水平，为公司发展提供新的动力。</w:t>
            </w:r>
          </w:p>
          <w:p>
            <w:pPr>
              <w:spacing w:before="156" w:beforeLines="50" w:line="360" w:lineRule="auto"/>
              <w:ind w:firstLine="482" w:firstLineChars="200"/>
              <w:rPr>
                <w:b/>
                <w:bCs/>
                <w:sz w:val="24"/>
                <w:szCs w:val="24"/>
              </w:rPr>
            </w:pPr>
            <w:r>
              <w:rPr>
                <w:rFonts w:hint="eastAsia"/>
                <w:b/>
                <w:bCs/>
                <w:sz w:val="24"/>
                <w:szCs w:val="24"/>
              </w:rPr>
              <w:t>问题十七：公司的营业收入情况？</w:t>
            </w:r>
          </w:p>
          <w:p>
            <w:pPr>
              <w:spacing w:before="156" w:beforeLines="50" w:line="360" w:lineRule="auto"/>
              <w:ind w:firstLine="480" w:firstLineChars="200"/>
              <w:rPr>
                <w:sz w:val="24"/>
                <w:szCs w:val="24"/>
              </w:rPr>
            </w:pPr>
            <w:r>
              <w:rPr>
                <w:rFonts w:hint="eastAsia"/>
                <w:sz w:val="24"/>
                <w:szCs w:val="24"/>
              </w:rPr>
              <w:t>截至公司第三季度营业收入为</w:t>
            </w:r>
            <w:r>
              <w:rPr>
                <w:sz w:val="24"/>
                <w:szCs w:val="24"/>
              </w:rPr>
              <w:t>100804.17</w:t>
            </w:r>
            <w:r>
              <w:rPr>
                <w:rFonts w:hint="eastAsia"/>
                <w:sz w:val="24"/>
                <w:szCs w:val="24"/>
              </w:rPr>
              <w:t>万元。</w:t>
            </w:r>
          </w:p>
          <w:p>
            <w:pPr>
              <w:spacing w:before="156" w:beforeLines="50" w:line="360" w:lineRule="auto"/>
              <w:ind w:firstLine="482" w:firstLineChars="200"/>
              <w:rPr>
                <w:b/>
                <w:bCs/>
                <w:sz w:val="24"/>
                <w:szCs w:val="24"/>
              </w:rPr>
            </w:pPr>
            <w:r>
              <w:rPr>
                <w:rFonts w:hint="eastAsia"/>
                <w:b/>
                <w:bCs/>
                <w:sz w:val="24"/>
                <w:szCs w:val="24"/>
              </w:rPr>
              <w:t>问题十八：公司高管减持原因，与公司经营是否有关系？</w:t>
            </w:r>
          </w:p>
          <w:p>
            <w:pPr>
              <w:spacing w:before="156" w:beforeLines="50" w:line="360" w:lineRule="auto"/>
              <w:ind w:firstLine="480" w:firstLineChars="200"/>
              <w:rPr>
                <w:sz w:val="24"/>
                <w:szCs w:val="24"/>
              </w:rPr>
            </w:pPr>
            <w:r>
              <w:rPr>
                <w:rFonts w:hint="eastAsia"/>
                <w:sz w:val="24"/>
                <w:szCs w:val="24"/>
              </w:rPr>
              <w:t>公司高管减持属个人资金需求行为，与公司经营无关。</w:t>
            </w:r>
          </w:p>
          <w:p>
            <w:pPr>
              <w:spacing w:before="240" w:after="156" w:afterLines="50" w:line="360" w:lineRule="auto"/>
              <w:ind w:firstLine="482" w:firstLineChars="200"/>
              <w:rPr>
                <w:b/>
                <w:sz w:val="24"/>
                <w:szCs w:val="24"/>
              </w:rPr>
            </w:pPr>
            <w:r>
              <w:rPr>
                <w:rFonts w:hint="eastAsia"/>
                <w:b/>
                <w:sz w:val="24"/>
                <w:szCs w:val="24"/>
              </w:rPr>
              <w:t>问题十九：接触网</w:t>
            </w:r>
            <w:r>
              <w:rPr>
                <w:b/>
                <w:sz w:val="24"/>
                <w:szCs w:val="24"/>
              </w:rPr>
              <w:t>项目建设的进度安排</w:t>
            </w:r>
            <w:r>
              <w:rPr>
                <w:rFonts w:hint="eastAsia"/>
                <w:b/>
                <w:sz w:val="24"/>
                <w:szCs w:val="24"/>
              </w:rPr>
              <w:t>？</w:t>
            </w:r>
          </w:p>
          <w:p>
            <w:pPr>
              <w:spacing w:before="240" w:after="156" w:afterLines="50" w:line="360" w:lineRule="auto"/>
              <w:ind w:firstLine="480" w:firstLineChars="200"/>
              <w:rPr>
                <w:sz w:val="24"/>
                <w:szCs w:val="24"/>
              </w:rPr>
            </w:pPr>
            <w:r>
              <w:rPr>
                <w:sz w:val="24"/>
                <w:szCs w:val="24"/>
              </w:rPr>
              <w:t>本项目建设期两年，其中，第一年主要完成接触网施工工艺改进和关键零部件生产线升级方案设计、设备选型和预订以及设计软件购置等工作；第二年主要完成软件二次开发、设备安装调试及试生产等工作</w:t>
            </w:r>
            <w:r>
              <w:rPr>
                <w:rFonts w:hint="eastAsia"/>
                <w:sz w:val="24"/>
                <w:szCs w:val="24"/>
              </w:rPr>
              <w:t>。</w:t>
            </w:r>
          </w:p>
          <w:p>
            <w:pPr>
              <w:spacing w:before="240" w:after="156" w:afterLines="50" w:line="360" w:lineRule="auto"/>
              <w:ind w:firstLine="482" w:firstLineChars="200"/>
              <w:rPr>
                <w:b/>
                <w:bCs/>
                <w:sz w:val="24"/>
                <w:szCs w:val="24"/>
              </w:rPr>
            </w:pPr>
            <w:r>
              <w:rPr>
                <w:rFonts w:hint="eastAsia"/>
                <w:b/>
                <w:bCs/>
                <w:sz w:val="24"/>
                <w:szCs w:val="24"/>
              </w:rPr>
              <w:t>问题二十：RPS公司的持续亏损情况是否已经有所好转？</w:t>
            </w:r>
          </w:p>
          <w:p>
            <w:pPr>
              <w:spacing w:before="156" w:beforeLines="50" w:line="360" w:lineRule="auto"/>
              <w:ind w:firstLine="480" w:firstLineChars="200"/>
              <w:rPr>
                <w:sz w:val="24"/>
                <w:szCs w:val="24"/>
              </w:rPr>
            </w:pPr>
            <w:r>
              <w:rPr>
                <w:sz w:val="24"/>
                <w:szCs w:val="24"/>
              </w:rPr>
              <w:t>随着金融危机影响的逐渐消失，以及优化德联邦铁路网络的实际需求，德国联邦政府于2015年启动大额投资计划。根据德国联邦铁路投资规划，轨道交通基础建设投资规模到2019年将达到76亿欧元，较2014年58亿欧元增长约31%。在上述市场环境下，RPS承接的订单规模持续增长，整体营业收入自2016年起开始逐步恢复。</w:t>
            </w:r>
          </w:p>
          <w:p>
            <w:pPr>
              <w:spacing w:before="156" w:beforeLines="50" w:line="360" w:lineRule="auto"/>
              <w:ind w:firstLine="480" w:firstLineChars="200"/>
              <w:rPr>
                <w:rFonts w:hint="eastAsia"/>
                <w:sz w:val="24"/>
                <w:szCs w:val="24"/>
              </w:rPr>
            </w:pPr>
            <w:r>
              <w:rPr>
                <w:sz w:val="24"/>
                <w:szCs w:val="24"/>
              </w:rPr>
              <w:t>同时，在收购完成后，RPS重新加大了海外业务的拓展力度并结合凯发电气的资源优势重回中国市场。截至目前，RPS海外业务拓展已经取得了一定的成果，</w:t>
            </w:r>
            <w:r>
              <w:rPr>
                <w:rFonts w:hint="eastAsia"/>
                <w:sz w:val="24"/>
                <w:szCs w:val="24"/>
                <w:lang w:val="en-US" w:eastAsia="zh-CN"/>
              </w:rPr>
              <w:t>在2017年</w:t>
            </w:r>
            <w:r>
              <w:rPr>
                <w:sz w:val="24"/>
                <w:szCs w:val="24"/>
              </w:rPr>
              <w:t>RPS取得了美国加州火车项目（一期）的接触网系统设计合同和接触网系统产品供应合同</w:t>
            </w:r>
            <w:r>
              <w:rPr>
                <w:rFonts w:hint="eastAsia"/>
                <w:sz w:val="24"/>
                <w:szCs w:val="24"/>
                <w:lang w:eastAsia="zh-CN"/>
              </w:rPr>
              <w:t>。</w:t>
            </w:r>
            <w:bookmarkStart w:id="0" w:name="_GoBack"/>
            <w:bookmarkEnd w:id="0"/>
          </w:p>
          <w:p>
            <w:pPr>
              <w:spacing w:before="240" w:after="156" w:afterLines="50" w:line="360" w:lineRule="auto"/>
              <w:ind w:firstLine="480" w:firstLineChars="200"/>
              <w:rPr>
                <w:rFonts w:ascii="宋体" w:hAnsi="宋体" w:cs="宋体"/>
                <w:color w:val="000000"/>
                <w:sz w:val="24"/>
                <w:shd w:val="clear" w:color="050000" w:fill="auto"/>
              </w:rPr>
            </w:pP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sz w:val="24"/>
                <w:shd w:val="clear" w:color="050000" w:fill="auto"/>
              </w:rPr>
              <w:t>附件清单</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hd w:val="clear" w:color="040000" w:fill="auto"/>
              </w:rPr>
            </w:pPr>
            <w:r>
              <w:rPr>
                <w:rFonts w:ascii="宋体" w:hAnsi="宋体" w:cs="宋体"/>
                <w:sz w:val="24"/>
                <w:shd w:val="clear" w:color="050000" w:fill="auto"/>
              </w:rPr>
              <w:t>无</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sz w:val="24"/>
                <w:shd w:val="clear" w:color="050000" w:fill="auto"/>
              </w:rPr>
              <w:t>日期</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hd w:val="clear" w:color="040000" w:fill="auto"/>
              </w:rPr>
            </w:pPr>
            <w:r>
              <w:rPr>
                <w:rFonts w:ascii="宋体" w:hAnsi="宋体" w:cs="宋体"/>
                <w:sz w:val="24"/>
                <w:shd w:val="clear" w:color="050000" w:fill="auto"/>
              </w:rPr>
              <w:t>201</w:t>
            </w:r>
            <w:r>
              <w:rPr>
                <w:rFonts w:hint="eastAsia" w:ascii="宋体" w:hAnsi="宋体" w:cs="宋体"/>
                <w:sz w:val="24"/>
                <w:shd w:val="clear" w:color="050000" w:fill="auto"/>
              </w:rPr>
              <w:t>7</w:t>
            </w:r>
            <w:r>
              <w:rPr>
                <w:rFonts w:ascii="宋体" w:hAnsi="宋体" w:cs="宋体"/>
                <w:sz w:val="24"/>
                <w:shd w:val="clear" w:color="050000" w:fill="auto"/>
              </w:rPr>
              <w:t>年</w:t>
            </w:r>
            <w:r>
              <w:rPr>
                <w:rFonts w:hint="eastAsia" w:ascii="宋体" w:hAnsi="宋体" w:cs="宋体"/>
                <w:sz w:val="24"/>
                <w:shd w:val="clear" w:color="050000" w:fill="auto"/>
              </w:rPr>
              <w:t>12</w:t>
            </w:r>
            <w:r>
              <w:rPr>
                <w:rFonts w:ascii="宋体" w:hAnsi="宋体" w:cs="宋体"/>
                <w:sz w:val="24"/>
                <w:shd w:val="clear" w:color="050000" w:fill="auto"/>
              </w:rPr>
              <w:t>月</w:t>
            </w:r>
            <w:r>
              <w:rPr>
                <w:rFonts w:hint="eastAsia" w:ascii="宋体" w:hAnsi="宋体" w:cs="宋体"/>
                <w:sz w:val="24"/>
                <w:shd w:val="clear" w:color="050000" w:fill="auto"/>
              </w:rPr>
              <w:t>4</w:t>
            </w:r>
            <w:r>
              <w:rPr>
                <w:rFonts w:ascii="宋体" w:hAnsi="宋体" w:cs="宋体"/>
                <w:sz w:val="24"/>
                <w:shd w:val="clear" w:color="050000" w:fill="auto"/>
              </w:rPr>
              <w:t>日</w:t>
            </w:r>
          </w:p>
        </w:tc>
      </w:tr>
    </w:tbl>
    <w:p>
      <w:pPr>
        <w:spacing w:line="360" w:lineRule="auto"/>
        <w:rPr>
          <w:rFonts w:eastAsia="Times New Roman"/>
          <w:shd w:val="clear" w:color="050000" w:fill="auto"/>
        </w:rPr>
      </w:pPr>
    </w:p>
    <w:p>
      <w:pPr>
        <w:spacing w:line="360" w:lineRule="auto"/>
        <w:rPr>
          <w:rFonts w:eastAsia="Times New Roman"/>
          <w:shd w:val="clear" w:color="050000" w:fill="auto"/>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oNotUseMarginsForDrawingGridOrigin w:val="1"/>
  <w:drawingGridHorizontalOrigin w:val="0"/>
  <w:drawingGridVerticalOrigin w:val="0"/>
  <w:doNotShadeFormData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172A27"/>
    <w:rsid w:val="000123C8"/>
    <w:rsid w:val="00043174"/>
    <w:rsid w:val="00120405"/>
    <w:rsid w:val="00172A27"/>
    <w:rsid w:val="001C01AE"/>
    <w:rsid w:val="001F20FF"/>
    <w:rsid w:val="002A1852"/>
    <w:rsid w:val="0038480E"/>
    <w:rsid w:val="00486092"/>
    <w:rsid w:val="004D616B"/>
    <w:rsid w:val="004D685A"/>
    <w:rsid w:val="005A1248"/>
    <w:rsid w:val="005F145F"/>
    <w:rsid w:val="00687970"/>
    <w:rsid w:val="006A0CCE"/>
    <w:rsid w:val="006E03C9"/>
    <w:rsid w:val="00766ABA"/>
    <w:rsid w:val="008C2486"/>
    <w:rsid w:val="008C4B43"/>
    <w:rsid w:val="009D7D07"/>
    <w:rsid w:val="00A82001"/>
    <w:rsid w:val="00AE4BBB"/>
    <w:rsid w:val="00B4073B"/>
    <w:rsid w:val="00B6648F"/>
    <w:rsid w:val="00B66D5B"/>
    <w:rsid w:val="00B70154"/>
    <w:rsid w:val="00BD3ABA"/>
    <w:rsid w:val="00C936F5"/>
    <w:rsid w:val="00D15B49"/>
    <w:rsid w:val="00D44EF9"/>
    <w:rsid w:val="00DF0F96"/>
    <w:rsid w:val="00E45863"/>
    <w:rsid w:val="00E776BB"/>
    <w:rsid w:val="00E9057A"/>
    <w:rsid w:val="00EE5999"/>
    <w:rsid w:val="00F83DC6"/>
    <w:rsid w:val="00F96D17"/>
    <w:rsid w:val="019167A0"/>
    <w:rsid w:val="01C9008B"/>
    <w:rsid w:val="04437523"/>
    <w:rsid w:val="049B3E20"/>
    <w:rsid w:val="057231AF"/>
    <w:rsid w:val="088079D2"/>
    <w:rsid w:val="0ACF41E8"/>
    <w:rsid w:val="0AD52683"/>
    <w:rsid w:val="0C30238D"/>
    <w:rsid w:val="0D536DFB"/>
    <w:rsid w:val="0D617832"/>
    <w:rsid w:val="11317B0B"/>
    <w:rsid w:val="11317F40"/>
    <w:rsid w:val="126D24A1"/>
    <w:rsid w:val="15914660"/>
    <w:rsid w:val="16922CAB"/>
    <w:rsid w:val="17322BF4"/>
    <w:rsid w:val="18053E7B"/>
    <w:rsid w:val="1B0B777B"/>
    <w:rsid w:val="1B3630D0"/>
    <w:rsid w:val="1C971D0A"/>
    <w:rsid w:val="1CB954AF"/>
    <w:rsid w:val="1FE21B9A"/>
    <w:rsid w:val="211D53AC"/>
    <w:rsid w:val="23AE4C1A"/>
    <w:rsid w:val="27F37B5D"/>
    <w:rsid w:val="27FA25C9"/>
    <w:rsid w:val="30426764"/>
    <w:rsid w:val="307A09D2"/>
    <w:rsid w:val="318756CE"/>
    <w:rsid w:val="31BD7FDA"/>
    <w:rsid w:val="3299158D"/>
    <w:rsid w:val="32B05071"/>
    <w:rsid w:val="353519AB"/>
    <w:rsid w:val="366921BA"/>
    <w:rsid w:val="39606542"/>
    <w:rsid w:val="3DDE5C47"/>
    <w:rsid w:val="3ED0601D"/>
    <w:rsid w:val="3EE23F30"/>
    <w:rsid w:val="3F1D5124"/>
    <w:rsid w:val="42410A18"/>
    <w:rsid w:val="43E213B8"/>
    <w:rsid w:val="463D697D"/>
    <w:rsid w:val="46A571A6"/>
    <w:rsid w:val="49240A1D"/>
    <w:rsid w:val="4BEC5D0E"/>
    <w:rsid w:val="4DD20BA5"/>
    <w:rsid w:val="4E7D1D5C"/>
    <w:rsid w:val="529F3107"/>
    <w:rsid w:val="52FC2AEE"/>
    <w:rsid w:val="54431D59"/>
    <w:rsid w:val="557353BA"/>
    <w:rsid w:val="55BF6E16"/>
    <w:rsid w:val="57307B25"/>
    <w:rsid w:val="57957893"/>
    <w:rsid w:val="58393A74"/>
    <w:rsid w:val="58D07E20"/>
    <w:rsid w:val="59925690"/>
    <w:rsid w:val="5A3C72A1"/>
    <w:rsid w:val="5B44167D"/>
    <w:rsid w:val="5BFA6114"/>
    <w:rsid w:val="5CD36E70"/>
    <w:rsid w:val="5E513E5E"/>
    <w:rsid w:val="60A25B6F"/>
    <w:rsid w:val="62A71743"/>
    <w:rsid w:val="63285C73"/>
    <w:rsid w:val="63586F3A"/>
    <w:rsid w:val="63AD2E36"/>
    <w:rsid w:val="645E3500"/>
    <w:rsid w:val="65DC4BA2"/>
    <w:rsid w:val="68753651"/>
    <w:rsid w:val="68BC33C5"/>
    <w:rsid w:val="691864EE"/>
    <w:rsid w:val="6BEF14C8"/>
    <w:rsid w:val="6C622D91"/>
    <w:rsid w:val="6D601D9F"/>
    <w:rsid w:val="6DD31186"/>
    <w:rsid w:val="6F495B22"/>
    <w:rsid w:val="6FDA4B8B"/>
    <w:rsid w:val="737749AC"/>
    <w:rsid w:val="741F2704"/>
    <w:rsid w:val="74282A00"/>
    <w:rsid w:val="76660F08"/>
    <w:rsid w:val="76F33962"/>
    <w:rsid w:val="79B32F58"/>
    <w:rsid w:val="79E755D2"/>
    <w:rsid w:val="79E90908"/>
    <w:rsid w:val="7B262C6E"/>
    <w:rsid w:val="7CCD189B"/>
    <w:rsid w:val="7D757C28"/>
    <w:rsid w:val="7E156E8F"/>
    <w:rsid w:val="7F85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8">
    <w:name w:val="页眉 Char"/>
    <w:basedOn w:val="5"/>
    <w:link w:val="4"/>
    <w:semiHidden/>
    <w:qFormat/>
    <w:uiPriority w:val="99"/>
    <w:rPr>
      <w:kern w:val="2"/>
      <w:sz w:val="18"/>
      <w:szCs w:val="18"/>
    </w:rPr>
  </w:style>
  <w:style w:type="character" w:customStyle="1" w:styleId="9">
    <w:name w:val="页脚 Char"/>
    <w:basedOn w:val="5"/>
    <w:link w:val="3"/>
    <w:semiHidden/>
    <w:qFormat/>
    <w:uiPriority w:val="99"/>
    <w:rPr>
      <w:kern w:val="2"/>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663</Words>
  <Characters>3782</Characters>
  <Lines>31</Lines>
  <Paragraphs>8</Paragraphs>
  <ScaleCrop>false</ScaleCrop>
  <LinksUpToDate>false</LinksUpToDate>
  <CharactersWithSpaces>4437</CharactersWithSpaces>
  <Application>WPS Office_10.1.0.6930_F1E327BC-269C-435d-A152-05C5408002CA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2017-12-05T06:58:00Z</dcterms:created>
  <dc:creator>Administrator</dc:creator>
  <cp:lastModifiedBy>樱桃的歌</cp:lastModifiedBy>
  <dcterms:modified xsi:type="dcterms:W3CDTF">2017-12-05T07:05:18Z</dcterms:modified>
  <dc:title>证券代码：300407                                    证券简称：凯发电气</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