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2D9" w:rsidRDefault="00093C21" w:rsidP="00093C21">
      <w:pPr>
        <w:topLinePunct/>
        <w:jc w:val="center"/>
        <w:rPr>
          <w:rFonts w:asciiTheme="minorEastAsia" w:eastAsiaTheme="minorEastAsia" w:hAnsiTheme="minorEastAsia"/>
          <w:b/>
          <w:sz w:val="36"/>
          <w:szCs w:val="36"/>
        </w:rPr>
      </w:pPr>
      <w:r w:rsidRPr="00BC57DD">
        <w:rPr>
          <w:rFonts w:asciiTheme="minorEastAsia" w:eastAsiaTheme="minorEastAsia" w:hAnsiTheme="minorEastAsia" w:hint="eastAsia"/>
          <w:b/>
          <w:sz w:val="36"/>
          <w:szCs w:val="36"/>
        </w:rPr>
        <w:t>新大洲控股股份有限公司</w:t>
      </w:r>
    </w:p>
    <w:p w:rsidR="00093C21" w:rsidRPr="00BC57DD" w:rsidRDefault="00093C21" w:rsidP="00093C21">
      <w:pPr>
        <w:topLinePunct/>
        <w:jc w:val="center"/>
        <w:rPr>
          <w:rFonts w:asciiTheme="minorEastAsia" w:eastAsiaTheme="minorEastAsia" w:hAnsiTheme="minorEastAsia"/>
          <w:b/>
          <w:sz w:val="36"/>
          <w:szCs w:val="36"/>
        </w:rPr>
      </w:pPr>
      <w:r w:rsidRPr="00BC57DD">
        <w:rPr>
          <w:rFonts w:asciiTheme="minorEastAsia" w:eastAsiaTheme="minorEastAsia" w:hAnsiTheme="minorEastAsia" w:hint="eastAsia"/>
          <w:b/>
          <w:sz w:val="36"/>
          <w:szCs w:val="36"/>
        </w:rPr>
        <w:t>关于</w:t>
      </w:r>
      <w:r w:rsidR="00DA72D9">
        <w:rPr>
          <w:rFonts w:asciiTheme="minorEastAsia" w:eastAsiaTheme="minorEastAsia" w:hAnsiTheme="minorEastAsia" w:hint="eastAsia"/>
          <w:b/>
          <w:sz w:val="36"/>
          <w:szCs w:val="36"/>
        </w:rPr>
        <w:t>投资者</w:t>
      </w:r>
      <w:r w:rsidRPr="00BC57DD">
        <w:rPr>
          <w:rFonts w:asciiTheme="minorEastAsia" w:eastAsiaTheme="minorEastAsia" w:hAnsiTheme="minorEastAsia" w:hint="eastAsia"/>
          <w:b/>
          <w:sz w:val="36"/>
          <w:szCs w:val="36"/>
        </w:rPr>
        <w:t>问询</w:t>
      </w:r>
      <w:r w:rsidR="00DA72D9">
        <w:rPr>
          <w:rFonts w:asciiTheme="minorEastAsia" w:eastAsiaTheme="minorEastAsia" w:hAnsiTheme="minorEastAsia" w:hint="eastAsia"/>
          <w:b/>
          <w:sz w:val="36"/>
          <w:szCs w:val="36"/>
        </w:rPr>
        <w:t>事项的回复</w:t>
      </w:r>
    </w:p>
    <w:p w:rsidR="00093C21" w:rsidRPr="00187D4E" w:rsidRDefault="00093C21" w:rsidP="00093C21">
      <w:pPr>
        <w:rPr>
          <w:rFonts w:asciiTheme="minorEastAsia" w:eastAsiaTheme="minorEastAsia" w:hAnsiTheme="minorEastAsia"/>
          <w:szCs w:val="21"/>
        </w:rPr>
      </w:pPr>
    </w:p>
    <w:p w:rsidR="00093C21" w:rsidRPr="0036209D" w:rsidRDefault="00DA72D9" w:rsidP="00454917">
      <w:pPr>
        <w:topLinePunct/>
        <w:spacing w:line="360" w:lineRule="auto"/>
        <w:ind w:firstLine="555"/>
        <w:jc w:val="left"/>
        <w:rPr>
          <w:rFonts w:asciiTheme="minorEastAsia" w:eastAsiaTheme="minorEastAsia" w:hAnsiTheme="minorEastAsia"/>
          <w:sz w:val="24"/>
        </w:rPr>
      </w:pPr>
      <w:r>
        <w:rPr>
          <w:rFonts w:asciiTheme="minorEastAsia" w:eastAsiaTheme="minorEastAsia" w:hAnsiTheme="minorEastAsia" w:hint="eastAsia"/>
          <w:sz w:val="24"/>
        </w:rPr>
        <w:t>近日</w:t>
      </w:r>
      <w:r w:rsidR="00093C21" w:rsidRPr="0036209D">
        <w:rPr>
          <w:rFonts w:asciiTheme="minorEastAsia" w:eastAsiaTheme="minorEastAsia" w:hAnsiTheme="minorEastAsia" w:hint="eastAsia"/>
          <w:sz w:val="24"/>
        </w:rPr>
        <w:t>我公司</w:t>
      </w:r>
      <w:r>
        <w:rPr>
          <w:rFonts w:asciiTheme="minorEastAsia" w:eastAsiaTheme="minorEastAsia" w:hAnsiTheme="minorEastAsia" w:hint="eastAsia"/>
          <w:sz w:val="24"/>
        </w:rPr>
        <w:t>接到投资者问询，现就相关内容及公司回复情况</w:t>
      </w:r>
      <w:r w:rsidR="00093C21" w:rsidRPr="0036209D">
        <w:rPr>
          <w:rFonts w:asciiTheme="minorEastAsia" w:eastAsiaTheme="minorEastAsia" w:hAnsiTheme="minorEastAsia" w:hint="eastAsia"/>
          <w:sz w:val="24"/>
        </w:rPr>
        <w:t>说明如下：</w:t>
      </w:r>
    </w:p>
    <w:p w:rsidR="00157F54" w:rsidRPr="00093C21" w:rsidRDefault="00157F54" w:rsidP="00454917">
      <w:pPr>
        <w:spacing w:line="360" w:lineRule="auto"/>
        <w:ind w:firstLineChars="202" w:firstLine="485"/>
        <w:outlineLvl w:val="0"/>
        <w:rPr>
          <w:rFonts w:asciiTheme="minorEastAsia" w:eastAsiaTheme="minorEastAsia" w:hAnsiTheme="minorEastAsia"/>
          <w:sz w:val="24"/>
        </w:rPr>
      </w:pPr>
      <w:r w:rsidRPr="00093C21">
        <w:rPr>
          <w:rFonts w:asciiTheme="minorEastAsia" w:eastAsiaTheme="minorEastAsia" w:hAnsiTheme="minorEastAsia" w:hint="eastAsia"/>
          <w:sz w:val="24"/>
        </w:rPr>
        <w:t>1、投资者反映，你公司于12月27日发布的《关于股东上海浩洲车业有限公司承诺未来12个月不通过竞价交易系统减持公司股票的公告》显示，大股东上海浩洲车业有限公司自愿承诺自2017年12月27日起十二个月内（即自2017年12月27日至2018年12月26日）不通过竞价交易系统减持其持有的新大洲股份，包括承诺期间如因送股、公积金转增股本等权益分派产生的新增股份。投资者认为，大股东承诺不通过集中竞价交易</w:t>
      </w:r>
      <w:proofErr w:type="gramStart"/>
      <w:r w:rsidRPr="00093C21">
        <w:rPr>
          <w:rFonts w:asciiTheme="minorEastAsia" w:eastAsiaTheme="minorEastAsia" w:hAnsiTheme="minorEastAsia" w:hint="eastAsia"/>
          <w:sz w:val="24"/>
        </w:rPr>
        <w:t>减持但可以</w:t>
      </w:r>
      <w:proofErr w:type="gramEnd"/>
      <w:r w:rsidRPr="00093C21">
        <w:rPr>
          <w:rFonts w:asciiTheme="minorEastAsia" w:eastAsiaTheme="minorEastAsia" w:hAnsiTheme="minorEastAsia" w:hint="eastAsia"/>
          <w:sz w:val="24"/>
        </w:rPr>
        <w:t>通过大宗交易减持，对手方再通</w:t>
      </w:r>
      <w:proofErr w:type="gramStart"/>
      <w:r w:rsidRPr="00093C21">
        <w:rPr>
          <w:rFonts w:asciiTheme="minorEastAsia" w:eastAsiaTheme="minorEastAsia" w:hAnsiTheme="minorEastAsia" w:hint="eastAsia"/>
          <w:sz w:val="24"/>
        </w:rPr>
        <w:t>过集中</w:t>
      </w:r>
      <w:proofErr w:type="gramEnd"/>
      <w:r w:rsidRPr="00093C21">
        <w:rPr>
          <w:rFonts w:asciiTheme="minorEastAsia" w:eastAsiaTheme="minorEastAsia" w:hAnsiTheme="minorEastAsia" w:hint="eastAsia"/>
          <w:sz w:val="24"/>
        </w:rPr>
        <w:t>竞价交易减持，大股东的承诺不仅无实质意义，且误导投资者。</w:t>
      </w:r>
    </w:p>
    <w:p w:rsidR="00C64A7C" w:rsidRDefault="001147DE" w:rsidP="00454917">
      <w:pPr>
        <w:spacing w:line="360" w:lineRule="auto"/>
        <w:ind w:firstLineChars="202" w:firstLine="485"/>
        <w:outlineLvl w:val="0"/>
        <w:rPr>
          <w:rFonts w:asciiTheme="minorEastAsia" w:eastAsiaTheme="minorEastAsia" w:hAnsiTheme="minorEastAsia"/>
          <w:sz w:val="24"/>
        </w:rPr>
      </w:pPr>
      <w:r>
        <w:rPr>
          <w:rFonts w:asciiTheme="minorEastAsia" w:eastAsiaTheme="minorEastAsia" w:hAnsiTheme="minorEastAsia" w:hint="eastAsia"/>
          <w:sz w:val="24"/>
        </w:rPr>
        <w:t>回复：</w:t>
      </w:r>
      <w:r w:rsidR="00B537D2">
        <w:rPr>
          <w:rFonts w:asciiTheme="minorEastAsia" w:eastAsiaTheme="minorEastAsia" w:hAnsiTheme="minorEastAsia" w:hint="eastAsia"/>
          <w:sz w:val="24"/>
        </w:rPr>
        <w:t>上海浩洲车业有限公司（以下简称“浩洲车业”）长期持有我公司股票，该公司于2017年12月</w:t>
      </w:r>
      <w:r w:rsidR="00785985" w:rsidRPr="00785985">
        <w:rPr>
          <w:rFonts w:asciiTheme="minorEastAsia" w:eastAsiaTheme="minorEastAsia" w:hAnsiTheme="minorEastAsia" w:hint="eastAsia"/>
          <w:sz w:val="24"/>
        </w:rPr>
        <w:t>通过大宗交易方式</w:t>
      </w:r>
      <w:r w:rsidR="00785985">
        <w:rPr>
          <w:rFonts w:asciiTheme="minorEastAsia" w:eastAsiaTheme="minorEastAsia" w:hAnsiTheme="minorEastAsia" w:hint="eastAsia"/>
          <w:sz w:val="24"/>
        </w:rPr>
        <w:t>合计</w:t>
      </w:r>
      <w:r w:rsidR="00785985" w:rsidRPr="00785985">
        <w:rPr>
          <w:rFonts w:asciiTheme="minorEastAsia" w:eastAsiaTheme="minorEastAsia" w:hAnsiTheme="minorEastAsia" w:hint="eastAsia"/>
          <w:sz w:val="24"/>
        </w:rPr>
        <w:t>减持</w:t>
      </w:r>
      <w:r w:rsidR="00785985">
        <w:rPr>
          <w:rFonts w:asciiTheme="minorEastAsia" w:eastAsiaTheme="minorEastAsia" w:hAnsiTheme="minorEastAsia" w:hint="eastAsia"/>
          <w:sz w:val="24"/>
        </w:rPr>
        <w:t>了我公司2%的股份，其原因是为解决公司资金需求。</w:t>
      </w:r>
      <w:r w:rsidR="00C64A7C">
        <w:rPr>
          <w:rFonts w:asciiTheme="minorEastAsia" w:eastAsiaTheme="minorEastAsia" w:hAnsiTheme="minorEastAsia" w:hint="eastAsia"/>
          <w:sz w:val="24"/>
        </w:rPr>
        <w:t>浩洲公司致函我公司发布公告，</w:t>
      </w:r>
      <w:r w:rsidR="00C64A7C" w:rsidRPr="00C64A7C">
        <w:rPr>
          <w:rFonts w:asciiTheme="minorEastAsia" w:eastAsiaTheme="minorEastAsia" w:hAnsiTheme="minorEastAsia" w:hint="eastAsia"/>
          <w:sz w:val="24"/>
        </w:rPr>
        <w:t>自愿承诺自2017年12月27日起十二个月内（即自2017年12月27日至2018年12月26日）不通过竞价交易系统减持其持有的</w:t>
      </w:r>
      <w:r w:rsidR="00C64A7C">
        <w:rPr>
          <w:rFonts w:asciiTheme="minorEastAsia" w:eastAsiaTheme="minorEastAsia" w:hAnsiTheme="minorEastAsia" w:hint="eastAsia"/>
          <w:sz w:val="24"/>
        </w:rPr>
        <w:t>我公司</w:t>
      </w:r>
      <w:r w:rsidR="00C64A7C" w:rsidRPr="00C64A7C">
        <w:rPr>
          <w:rFonts w:asciiTheme="minorEastAsia" w:eastAsiaTheme="minorEastAsia" w:hAnsiTheme="minorEastAsia" w:hint="eastAsia"/>
          <w:sz w:val="24"/>
        </w:rPr>
        <w:t>股份，包括承诺期间如因送股、公积金转增股本等权益分派产生的新增股份。</w:t>
      </w:r>
    </w:p>
    <w:p w:rsidR="00093C21" w:rsidRDefault="00C64A7C" w:rsidP="00454917">
      <w:pPr>
        <w:spacing w:line="360" w:lineRule="auto"/>
        <w:ind w:firstLineChars="202" w:firstLine="485"/>
        <w:outlineLvl w:val="0"/>
        <w:rPr>
          <w:rFonts w:asciiTheme="minorEastAsia" w:eastAsiaTheme="minorEastAsia" w:hAnsiTheme="minorEastAsia"/>
          <w:sz w:val="24"/>
        </w:rPr>
      </w:pPr>
      <w:r>
        <w:rPr>
          <w:rFonts w:asciiTheme="minorEastAsia" w:eastAsiaTheme="minorEastAsia" w:hAnsiTheme="minorEastAsia" w:hint="eastAsia"/>
          <w:sz w:val="24"/>
        </w:rPr>
        <w:t>根据</w:t>
      </w:r>
      <w:r w:rsidRPr="00C64A7C">
        <w:rPr>
          <w:rFonts w:asciiTheme="minorEastAsia" w:eastAsiaTheme="minorEastAsia" w:hAnsiTheme="minorEastAsia" w:hint="eastAsia"/>
          <w:sz w:val="24"/>
        </w:rPr>
        <w:t>2017年5月27</w:t>
      </w:r>
      <w:r>
        <w:rPr>
          <w:rFonts w:asciiTheme="minorEastAsia" w:eastAsiaTheme="minorEastAsia" w:hAnsiTheme="minorEastAsia" w:hint="eastAsia"/>
          <w:sz w:val="24"/>
        </w:rPr>
        <w:t>日</w:t>
      </w:r>
      <w:r w:rsidRPr="00C64A7C">
        <w:rPr>
          <w:rFonts w:asciiTheme="minorEastAsia" w:eastAsiaTheme="minorEastAsia" w:hAnsiTheme="minorEastAsia" w:hint="eastAsia"/>
          <w:sz w:val="24"/>
        </w:rPr>
        <w:t>深交所发布</w:t>
      </w:r>
      <w:r>
        <w:rPr>
          <w:rFonts w:asciiTheme="minorEastAsia" w:eastAsiaTheme="minorEastAsia" w:hAnsiTheme="minorEastAsia" w:hint="eastAsia"/>
          <w:sz w:val="24"/>
        </w:rPr>
        <w:t>的</w:t>
      </w:r>
      <w:r w:rsidRPr="00C64A7C">
        <w:rPr>
          <w:rFonts w:asciiTheme="minorEastAsia" w:eastAsiaTheme="minorEastAsia" w:hAnsiTheme="minorEastAsia" w:hint="eastAsia"/>
          <w:sz w:val="24"/>
        </w:rPr>
        <w:t>《上市公司股东及董事、监事、 高级管理人员减持股份实施细则》</w:t>
      </w:r>
      <w:r>
        <w:rPr>
          <w:rFonts w:asciiTheme="minorEastAsia" w:eastAsiaTheme="minorEastAsia" w:hAnsiTheme="minorEastAsia" w:hint="eastAsia"/>
          <w:sz w:val="24"/>
        </w:rPr>
        <w:t>，浩洲车业作为持股5%以上的大股东，</w:t>
      </w:r>
      <w:r w:rsidR="00CE608A">
        <w:rPr>
          <w:rFonts w:asciiTheme="minorEastAsia" w:eastAsiaTheme="minorEastAsia" w:hAnsiTheme="minorEastAsia" w:hint="eastAsia"/>
          <w:sz w:val="24"/>
        </w:rPr>
        <w:t>90日内</w:t>
      </w:r>
      <w:r>
        <w:rPr>
          <w:rFonts w:asciiTheme="minorEastAsia" w:eastAsiaTheme="minorEastAsia" w:hAnsiTheme="minorEastAsia" w:hint="eastAsia"/>
          <w:sz w:val="24"/>
        </w:rPr>
        <w:t>其可通过</w:t>
      </w:r>
      <w:r w:rsidR="00CE608A">
        <w:rPr>
          <w:rFonts w:asciiTheme="minorEastAsia" w:eastAsiaTheme="minorEastAsia" w:hAnsiTheme="minorEastAsia" w:hint="eastAsia"/>
          <w:sz w:val="24"/>
        </w:rPr>
        <w:t>大宗交易减持2%，通过竞价交易系统减持1%的股份。其承诺未来12个月内不通过竞价交易系统减持，表达了作为大股东对维护广大投资者利益的承诺。</w:t>
      </w:r>
    </w:p>
    <w:p w:rsidR="00CE608A" w:rsidRDefault="00CE608A" w:rsidP="00454917">
      <w:pPr>
        <w:spacing w:line="360" w:lineRule="auto"/>
        <w:ind w:firstLineChars="202" w:firstLine="485"/>
        <w:outlineLvl w:val="0"/>
        <w:rPr>
          <w:rFonts w:asciiTheme="minorEastAsia" w:eastAsiaTheme="minorEastAsia" w:hAnsiTheme="minorEastAsia"/>
          <w:sz w:val="24"/>
        </w:rPr>
      </w:pPr>
      <w:r>
        <w:rPr>
          <w:rFonts w:asciiTheme="minorEastAsia" w:eastAsiaTheme="minorEastAsia" w:hAnsiTheme="minorEastAsia" w:hint="eastAsia"/>
          <w:sz w:val="24"/>
        </w:rPr>
        <w:t>大股东通过大宗交易减持，买入方按照规定在买入后6个月内不得减持，在一定</w:t>
      </w:r>
      <w:r w:rsidR="00BD6789">
        <w:rPr>
          <w:rFonts w:asciiTheme="minorEastAsia" w:eastAsiaTheme="minorEastAsia" w:hAnsiTheme="minorEastAsia" w:hint="eastAsia"/>
          <w:sz w:val="24"/>
        </w:rPr>
        <w:t>程度上减小了对当前二级市场的影响，使投资者对大股东减持后的市场交易有了更明确的判断方向和预期。根据市场交易规则买卖股票本是股东的自由，浩洲车业为了维护股东权益所做的承诺表达了股东对广大投资者负责任的做法</w:t>
      </w:r>
      <w:r w:rsidR="00583463">
        <w:rPr>
          <w:rFonts w:asciiTheme="minorEastAsia" w:eastAsiaTheme="minorEastAsia" w:hAnsiTheme="minorEastAsia" w:hint="eastAsia"/>
          <w:sz w:val="24"/>
        </w:rPr>
        <w:t>。对照</w:t>
      </w:r>
      <w:r w:rsidR="00F27A4E" w:rsidRPr="00F27A4E">
        <w:rPr>
          <w:rFonts w:asciiTheme="minorEastAsia" w:eastAsiaTheme="minorEastAsia" w:hAnsiTheme="minorEastAsia" w:hint="eastAsia"/>
          <w:sz w:val="24"/>
        </w:rPr>
        <w:t>《上市公司股东及董事、监事、 高级管理人员减持股份实施细则》</w:t>
      </w:r>
      <w:r w:rsidR="00F27A4E">
        <w:rPr>
          <w:rFonts w:asciiTheme="minorEastAsia" w:eastAsiaTheme="minorEastAsia" w:hAnsiTheme="minorEastAsia" w:hint="eastAsia"/>
          <w:sz w:val="24"/>
        </w:rPr>
        <w:t>，</w:t>
      </w:r>
      <w:proofErr w:type="gramStart"/>
      <w:r w:rsidR="00F27A4E">
        <w:rPr>
          <w:rFonts w:asciiTheme="minorEastAsia" w:eastAsiaTheme="minorEastAsia" w:hAnsiTheme="minorEastAsia" w:hint="eastAsia"/>
          <w:sz w:val="24"/>
        </w:rPr>
        <w:t>浩洲车业执行</w:t>
      </w:r>
      <w:proofErr w:type="gramEnd"/>
      <w:r w:rsidR="00F27A4E">
        <w:rPr>
          <w:rFonts w:asciiTheme="minorEastAsia" w:eastAsiaTheme="minorEastAsia" w:hAnsiTheme="minorEastAsia" w:hint="eastAsia"/>
          <w:sz w:val="24"/>
        </w:rPr>
        <w:t>了比规则更严格的减持方式，有利于维护公司股价稳定，希望投资者支持和理解。</w:t>
      </w:r>
    </w:p>
    <w:p w:rsidR="00157F54" w:rsidRDefault="00157F54" w:rsidP="00454917">
      <w:pPr>
        <w:spacing w:line="360" w:lineRule="auto"/>
        <w:ind w:firstLineChars="202" w:firstLine="485"/>
        <w:outlineLvl w:val="0"/>
        <w:rPr>
          <w:rFonts w:asciiTheme="minorEastAsia" w:eastAsiaTheme="minorEastAsia" w:hAnsiTheme="minorEastAsia"/>
          <w:sz w:val="24"/>
        </w:rPr>
      </w:pPr>
      <w:r w:rsidRPr="00093C21">
        <w:rPr>
          <w:rFonts w:asciiTheme="minorEastAsia" w:eastAsiaTheme="minorEastAsia" w:hAnsiTheme="minorEastAsia" w:hint="eastAsia"/>
          <w:sz w:val="24"/>
        </w:rPr>
        <w:t>2、投资者反映，你公司在转让占股比例50%的新大洲本田摩托资产过程中</w:t>
      </w:r>
      <w:r w:rsidRPr="00093C21">
        <w:rPr>
          <w:rFonts w:asciiTheme="minorEastAsia" w:eastAsiaTheme="minorEastAsia" w:hAnsiTheme="minorEastAsia" w:hint="eastAsia"/>
          <w:sz w:val="24"/>
        </w:rPr>
        <w:lastRenderedPageBreak/>
        <w:t>采用资</w:t>
      </w:r>
      <w:r w:rsidR="009F7BFC" w:rsidRPr="00093C21">
        <w:rPr>
          <w:rFonts w:asciiTheme="minorEastAsia" w:eastAsiaTheme="minorEastAsia" w:hAnsiTheme="minorEastAsia" w:hint="eastAsia"/>
          <w:sz w:val="24"/>
        </w:rPr>
        <w:t>产</w:t>
      </w:r>
      <w:r w:rsidRPr="00093C21">
        <w:rPr>
          <w:rFonts w:asciiTheme="minorEastAsia" w:eastAsiaTheme="minorEastAsia" w:hAnsiTheme="minorEastAsia" w:hint="eastAsia"/>
          <w:sz w:val="24"/>
        </w:rPr>
        <w:t>基础评估</w:t>
      </w:r>
      <w:proofErr w:type="gramStart"/>
      <w:r w:rsidRPr="00093C21">
        <w:rPr>
          <w:rFonts w:asciiTheme="minorEastAsia" w:eastAsiaTheme="minorEastAsia" w:hAnsiTheme="minorEastAsia" w:hint="eastAsia"/>
          <w:sz w:val="24"/>
        </w:rPr>
        <w:t>法严重</w:t>
      </w:r>
      <w:proofErr w:type="gramEnd"/>
      <w:r w:rsidRPr="00093C21">
        <w:rPr>
          <w:rFonts w:asciiTheme="minorEastAsia" w:eastAsiaTheme="minorEastAsia" w:hAnsiTheme="minorEastAsia" w:hint="eastAsia"/>
          <w:sz w:val="24"/>
        </w:rPr>
        <w:t>有失公允，新大洲本田摩托车资产2016年收入为425,144.79万元，净利润为15,769.5万元，该资产效益良好，贡献远高于公司大股东主导的牛肉产业。另外，新大洲本田摩托车资产仅作价89,222.115万元转让给新大洲股权投资有限公司，转让价格过低，有以新大洲股权投资有限公司等相关方同意陈阳友名下资产高溢价卖给上市公司作为交换条件的嫌疑。</w:t>
      </w:r>
    </w:p>
    <w:p w:rsidR="009277BB" w:rsidRDefault="00F27A4E" w:rsidP="00454917">
      <w:pPr>
        <w:spacing w:line="360" w:lineRule="auto"/>
        <w:ind w:firstLineChars="202" w:firstLine="485"/>
        <w:outlineLvl w:val="0"/>
        <w:rPr>
          <w:rFonts w:asciiTheme="minorEastAsia" w:eastAsiaTheme="minorEastAsia" w:hAnsiTheme="minorEastAsia"/>
          <w:sz w:val="24"/>
        </w:rPr>
      </w:pPr>
      <w:r>
        <w:rPr>
          <w:rFonts w:asciiTheme="minorEastAsia" w:eastAsiaTheme="minorEastAsia" w:hAnsiTheme="minorEastAsia" w:hint="eastAsia"/>
          <w:sz w:val="24"/>
        </w:rPr>
        <w:t>回复：公司出售新大洲本田摩托有限公司（以下简称“新大洲本田”）50%股权，评估机构出具的《评估报告》</w:t>
      </w:r>
      <w:r w:rsidR="009277BB" w:rsidRPr="009277BB">
        <w:rPr>
          <w:rFonts w:asciiTheme="minorEastAsia" w:eastAsiaTheme="minorEastAsia" w:hAnsiTheme="minorEastAsia" w:hint="eastAsia"/>
          <w:sz w:val="24"/>
        </w:rPr>
        <w:t>分别采用</w:t>
      </w:r>
      <w:r w:rsidR="009277BB">
        <w:rPr>
          <w:rFonts w:asciiTheme="minorEastAsia" w:eastAsiaTheme="minorEastAsia" w:hAnsiTheme="minorEastAsia" w:hint="eastAsia"/>
          <w:sz w:val="24"/>
        </w:rPr>
        <w:t>了</w:t>
      </w:r>
      <w:r w:rsidR="009277BB" w:rsidRPr="009277BB">
        <w:rPr>
          <w:rFonts w:asciiTheme="minorEastAsia" w:eastAsiaTheme="minorEastAsia" w:hAnsiTheme="minorEastAsia" w:hint="eastAsia"/>
          <w:sz w:val="24"/>
        </w:rPr>
        <w:t>收益法和资产基础法两种方法对新大洲本田股东全部权益价值进行</w:t>
      </w:r>
      <w:r w:rsidR="009277BB">
        <w:rPr>
          <w:rFonts w:asciiTheme="minorEastAsia" w:eastAsiaTheme="minorEastAsia" w:hAnsiTheme="minorEastAsia" w:hint="eastAsia"/>
          <w:sz w:val="24"/>
        </w:rPr>
        <w:t>了</w:t>
      </w:r>
      <w:r w:rsidR="009277BB" w:rsidRPr="009277BB">
        <w:rPr>
          <w:rFonts w:asciiTheme="minorEastAsia" w:eastAsiaTheme="minorEastAsia" w:hAnsiTheme="minorEastAsia" w:hint="eastAsia"/>
          <w:sz w:val="24"/>
        </w:rPr>
        <w:t>评估。收益法评估结果</w:t>
      </w:r>
      <w:r w:rsidR="009277BB">
        <w:rPr>
          <w:rFonts w:asciiTheme="minorEastAsia" w:eastAsiaTheme="minorEastAsia" w:hAnsiTheme="minorEastAsia" w:hint="eastAsia"/>
          <w:sz w:val="24"/>
        </w:rPr>
        <w:t>为</w:t>
      </w:r>
      <w:r w:rsidR="009277BB" w:rsidRPr="009277BB">
        <w:rPr>
          <w:rFonts w:asciiTheme="minorEastAsia" w:eastAsiaTheme="minorEastAsia" w:hAnsiTheme="minorEastAsia" w:hint="eastAsia"/>
          <w:sz w:val="24"/>
        </w:rPr>
        <w:t>179,300.00 万元，比审计后账面净资产增值25,616.27万元，增值率为16.67%。资产基础法评估结果178,444.23万元，比账面净资产增值24,760.50万元，增值率为16.11%。</w:t>
      </w:r>
      <w:r w:rsidR="00725317">
        <w:rPr>
          <w:rFonts w:asciiTheme="minorEastAsia" w:eastAsiaTheme="minorEastAsia" w:hAnsiTheme="minorEastAsia" w:hint="eastAsia"/>
          <w:sz w:val="24"/>
        </w:rPr>
        <w:t>两种评估方法相差</w:t>
      </w:r>
      <w:r w:rsidR="00725317">
        <w:rPr>
          <w:rFonts w:asciiTheme="minorEastAsia" w:eastAsiaTheme="minorEastAsia" w:hAnsiTheme="minorEastAsia"/>
          <w:sz w:val="24"/>
        </w:rPr>
        <w:t>855.77</w:t>
      </w:r>
      <w:r w:rsidR="00725317">
        <w:rPr>
          <w:rFonts w:asciiTheme="minorEastAsia" w:eastAsiaTheme="minorEastAsia" w:hAnsiTheme="minorEastAsia" w:hint="eastAsia"/>
          <w:sz w:val="24"/>
        </w:rPr>
        <w:t>万元。</w:t>
      </w:r>
    </w:p>
    <w:p w:rsidR="00F27A4E" w:rsidRDefault="009277BB" w:rsidP="00454917">
      <w:pPr>
        <w:spacing w:line="360" w:lineRule="auto"/>
        <w:ind w:firstLineChars="202" w:firstLine="485"/>
        <w:outlineLvl w:val="0"/>
        <w:rPr>
          <w:rFonts w:asciiTheme="minorEastAsia" w:eastAsiaTheme="minorEastAsia" w:hAnsiTheme="minorEastAsia"/>
          <w:sz w:val="24"/>
        </w:rPr>
      </w:pPr>
      <w:r>
        <w:rPr>
          <w:rFonts w:asciiTheme="minorEastAsia" w:eastAsiaTheme="minorEastAsia" w:hAnsiTheme="minorEastAsia" w:hint="eastAsia"/>
          <w:sz w:val="24"/>
        </w:rPr>
        <w:t>《评估报告》中说明：</w:t>
      </w:r>
      <w:r w:rsidRPr="009277BB">
        <w:rPr>
          <w:rFonts w:asciiTheme="minorEastAsia" w:eastAsiaTheme="minorEastAsia" w:hAnsiTheme="minorEastAsia" w:hint="eastAsia"/>
          <w:sz w:val="24"/>
        </w:rPr>
        <w:t>考虑到一般情况下，资产基础法能够反映企业资产的自身价值。收益法是对未来收益预测的折现结果，未来收益预测具有一定的不确定性，其原因有以下几点：①未来厂区的搬迁，新大洲本田2018年要在江苏省太仓市新建一个厂区生产摩托车，但是目前还没有实际实施，厂区搬迁费用难以具体计算，新建厂区的设备购买成本不确定；②江苏省太仓市新厂区建成之后，上海厂区里旧厂房和设备的处置还不确定，对未来的现金流有一定的影响；③新大洲本田的摩托车销售没有固定的长期销售合同；④评估师通过对摩托车行业进行研究，了解到各大城市出台</w:t>
      </w:r>
      <w:proofErr w:type="gramStart"/>
      <w:r w:rsidRPr="009277BB">
        <w:rPr>
          <w:rFonts w:asciiTheme="minorEastAsia" w:eastAsiaTheme="minorEastAsia" w:hAnsiTheme="minorEastAsia" w:hint="eastAsia"/>
          <w:sz w:val="24"/>
        </w:rPr>
        <w:t>了限摩令</w:t>
      </w:r>
      <w:proofErr w:type="gramEnd"/>
      <w:r w:rsidRPr="009277BB">
        <w:rPr>
          <w:rFonts w:asciiTheme="minorEastAsia" w:eastAsiaTheme="minorEastAsia" w:hAnsiTheme="minorEastAsia" w:hint="eastAsia"/>
          <w:sz w:val="24"/>
        </w:rPr>
        <w:t>，影响摩托车销售。还有人民生活水平的提高，愿意购买小汽车和方便快捷的电动车，对摩托车的销售冲击很大。整个摩托车行业处于下行趋势，销量逐年递减，市场环境不好；⑤受国内外经济形势变化及需求结构变化的影响，我国摩托车产业整体呈继续下行的走势。所以未来收益预测有一定的不确定性。评估师经过对新大洲本田财务状况的调查及历史经营业绩分析，结合本次资产评估对象，适用的价值类型，经过比较分析，认为资产基础法的评估结果能更全面、合理地反映新大洲本田的股东权益价值。</w:t>
      </w:r>
    </w:p>
    <w:p w:rsidR="00AE5CC7" w:rsidRDefault="00AE5CC7" w:rsidP="00454917">
      <w:pPr>
        <w:spacing w:line="360" w:lineRule="auto"/>
        <w:ind w:firstLineChars="202" w:firstLine="485"/>
        <w:outlineLvl w:val="0"/>
        <w:rPr>
          <w:rFonts w:asciiTheme="minorEastAsia" w:eastAsiaTheme="minorEastAsia" w:hAnsiTheme="minorEastAsia"/>
          <w:sz w:val="24"/>
        </w:rPr>
      </w:pPr>
      <w:r>
        <w:rPr>
          <w:rFonts w:asciiTheme="minorEastAsia" w:eastAsiaTheme="minorEastAsia" w:hAnsiTheme="minorEastAsia" w:hint="eastAsia"/>
          <w:sz w:val="24"/>
        </w:rPr>
        <w:t>本次交易，双方依据上述《评估报告》为基础确定</w:t>
      </w:r>
      <w:r w:rsidR="00030076">
        <w:rPr>
          <w:rFonts w:asciiTheme="minorEastAsia" w:eastAsiaTheme="minorEastAsia" w:hAnsiTheme="minorEastAsia" w:hint="eastAsia"/>
          <w:sz w:val="24"/>
        </w:rPr>
        <w:t>新大洲本田</w:t>
      </w:r>
      <w:r>
        <w:rPr>
          <w:rFonts w:asciiTheme="minorEastAsia" w:eastAsiaTheme="minorEastAsia" w:hAnsiTheme="minorEastAsia" w:hint="eastAsia"/>
          <w:sz w:val="24"/>
        </w:rPr>
        <w:t>50%股权的转让对价为</w:t>
      </w:r>
      <w:r w:rsidRPr="00AE5CC7">
        <w:rPr>
          <w:rFonts w:asciiTheme="minorEastAsia" w:eastAsiaTheme="minorEastAsia" w:hAnsiTheme="minorEastAsia" w:hint="eastAsia"/>
          <w:sz w:val="24"/>
        </w:rPr>
        <w:t>89,222.115万元</w:t>
      </w:r>
      <w:r>
        <w:rPr>
          <w:rFonts w:asciiTheme="minorEastAsia" w:eastAsiaTheme="minorEastAsia" w:hAnsiTheme="minorEastAsia" w:hint="eastAsia"/>
          <w:sz w:val="24"/>
        </w:rPr>
        <w:t>。实际交易增加过渡期间新大洲本田实际的收益按50%比例享有</w:t>
      </w:r>
      <w:r w:rsidRPr="00AE5CC7">
        <w:rPr>
          <w:rFonts w:asciiTheme="minorEastAsia" w:eastAsiaTheme="minorEastAsia" w:hAnsiTheme="minorEastAsia"/>
          <w:sz w:val="24"/>
        </w:rPr>
        <w:t>4,526.6814</w:t>
      </w:r>
      <w:r>
        <w:rPr>
          <w:rFonts w:asciiTheme="minorEastAsia" w:eastAsiaTheme="minorEastAsia" w:hAnsiTheme="minorEastAsia" w:hint="eastAsia"/>
          <w:sz w:val="24"/>
        </w:rPr>
        <w:t>万元，调整后价款为</w:t>
      </w:r>
      <w:r w:rsidR="00030076" w:rsidRPr="00030076">
        <w:rPr>
          <w:rFonts w:asciiTheme="minorEastAsia" w:eastAsiaTheme="minorEastAsia" w:hAnsiTheme="minorEastAsia"/>
          <w:sz w:val="24"/>
        </w:rPr>
        <w:t>93748.7964</w:t>
      </w:r>
      <w:r w:rsidR="00030076">
        <w:rPr>
          <w:rFonts w:asciiTheme="minorEastAsia" w:eastAsiaTheme="minorEastAsia" w:hAnsiTheme="minorEastAsia" w:hint="eastAsia"/>
          <w:sz w:val="24"/>
        </w:rPr>
        <w:t>万元。</w:t>
      </w:r>
    </w:p>
    <w:p w:rsidR="00030076" w:rsidRDefault="00725317" w:rsidP="00454917">
      <w:pPr>
        <w:topLinePunct/>
        <w:spacing w:line="360" w:lineRule="auto"/>
        <w:ind w:firstLine="555"/>
        <w:jc w:val="left"/>
        <w:rPr>
          <w:rFonts w:asciiTheme="minorEastAsia" w:eastAsiaTheme="minorEastAsia" w:hAnsiTheme="minorEastAsia"/>
          <w:sz w:val="24"/>
        </w:rPr>
      </w:pPr>
      <w:r>
        <w:rPr>
          <w:rFonts w:asciiTheme="minorEastAsia" w:eastAsiaTheme="minorEastAsia" w:hAnsiTheme="minorEastAsia" w:hint="eastAsia"/>
          <w:sz w:val="24"/>
        </w:rPr>
        <w:t>投资者认为</w:t>
      </w:r>
      <w:r w:rsidRPr="00725317">
        <w:rPr>
          <w:rFonts w:asciiTheme="minorEastAsia" w:eastAsiaTheme="minorEastAsia" w:hAnsiTheme="minorEastAsia" w:hint="eastAsia"/>
          <w:sz w:val="24"/>
        </w:rPr>
        <w:t>资产基础评估法</w:t>
      </w:r>
      <w:r>
        <w:rPr>
          <w:rFonts w:asciiTheme="minorEastAsia" w:eastAsiaTheme="minorEastAsia" w:hAnsiTheme="minorEastAsia" w:hint="eastAsia"/>
          <w:sz w:val="24"/>
        </w:rPr>
        <w:t>评估</w:t>
      </w:r>
      <w:r w:rsidRPr="00725317">
        <w:rPr>
          <w:rFonts w:asciiTheme="minorEastAsia" w:eastAsiaTheme="minorEastAsia" w:hAnsiTheme="minorEastAsia" w:hint="eastAsia"/>
          <w:sz w:val="24"/>
        </w:rPr>
        <w:t>有失公允</w:t>
      </w:r>
      <w:r>
        <w:rPr>
          <w:rFonts w:asciiTheme="minorEastAsia" w:eastAsiaTheme="minorEastAsia" w:hAnsiTheme="minorEastAsia" w:hint="eastAsia"/>
          <w:sz w:val="24"/>
        </w:rPr>
        <w:t>，认为新大洲本田收益较好</w:t>
      </w:r>
      <w:r w:rsidR="00FD3C6F">
        <w:rPr>
          <w:rFonts w:asciiTheme="minorEastAsia" w:eastAsiaTheme="minorEastAsia" w:hAnsiTheme="minorEastAsia" w:hint="eastAsia"/>
          <w:sz w:val="24"/>
        </w:rPr>
        <w:t>，可</w:t>
      </w:r>
      <w:r w:rsidR="00FD3C6F">
        <w:rPr>
          <w:rFonts w:asciiTheme="minorEastAsia" w:eastAsiaTheme="minorEastAsia" w:hAnsiTheme="minorEastAsia" w:hint="eastAsia"/>
          <w:sz w:val="24"/>
        </w:rPr>
        <w:lastRenderedPageBreak/>
        <w:t>参考收益法下的评估结果，二者差异较小。</w:t>
      </w:r>
      <w:r w:rsidR="00FD3C6F" w:rsidRPr="00FD3C6F">
        <w:rPr>
          <w:rFonts w:asciiTheme="minorEastAsia" w:eastAsiaTheme="minorEastAsia" w:hAnsiTheme="minorEastAsia" w:hint="eastAsia"/>
          <w:sz w:val="24"/>
        </w:rPr>
        <w:t>事实是公司不仅面临摩托车行业下滑的巨大压力，新大洲本田合资期限仅剩</w:t>
      </w:r>
      <w:r w:rsidR="00FD3C6F">
        <w:rPr>
          <w:rFonts w:asciiTheme="minorEastAsia" w:eastAsiaTheme="minorEastAsia" w:hAnsiTheme="minorEastAsia" w:hint="eastAsia"/>
          <w:sz w:val="24"/>
        </w:rPr>
        <w:t>不足</w:t>
      </w:r>
      <w:r w:rsidR="00FD3C6F" w:rsidRPr="00FD3C6F">
        <w:rPr>
          <w:rFonts w:asciiTheme="minorEastAsia" w:eastAsiaTheme="minorEastAsia" w:hAnsiTheme="minorEastAsia" w:hint="eastAsia"/>
          <w:sz w:val="24"/>
        </w:rPr>
        <w:t>4年，国家将放开汽车零部件及摩托车行业对外资进入的限制，这使得我公司与本田公司的合资关系面临重新商议。</w:t>
      </w:r>
      <w:r w:rsidR="00DA72D9">
        <w:rPr>
          <w:rFonts w:asciiTheme="minorEastAsia" w:eastAsiaTheme="minorEastAsia" w:hAnsiTheme="minorEastAsia" w:hint="eastAsia"/>
          <w:sz w:val="24"/>
        </w:rPr>
        <w:t>有关情况详见公司此前在投资者关系专栏的《</w:t>
      </w:r>
      <w:r w:rsidR="00DA72D9" w:rsidRPr="00DA72D9">
        <w:rPr>
          <w:rFonts w:asciiTheme="minorEastAsia" w:eastAsiaTheme="minorEastAsia" w:hAnsiTheme="minorEastAsia" w:hint="eastAsia"/>
          <w:sz w:val="24"/>
        </w:rPr>
        <w:t>关于资产并购和处置的说明</w:t>
      </w:r>
      <w:r w:rsidR="00DA72D9">
        <w:rPr>
          <w:rFonts w:asciiTheme="minorEastAsia" w:eastAsiaTheme="minorEastAsia" w:hAnsiTheme="minorEastAsia" w:hint="eastAsia"/>
          <w:sz w:val="24"/>
        </w:rPr>
        <w:t>》。</w:t>
      </w:r>
    </w:p>
    <w:p w:rsidR="00FD3C6F" w:rsidRDefault="00FD3C6F" w:rsidP="00454917">
      <w:pPr>
        <w:topLinePunct/>
        <w:spacing w:line="360" w:lineRule="auto"/>
        <w:ind w:firstLine="555"/>
        <w:jc w:val="left"/>
        <w:rPr>
          <w:rFonts w:asciiTheme="minorEastAsia" w:eastAsiaTheme="minorEastAsia" w:hAnsiTheme="minorEastAsia"/>
          <w:sz w:val="24"/>
        </w:rPr>
      </w:pPr>
      <w:r>
        <w:rPr>
          <w:rFonts w:asciiTheme="minorEastAsia" w:eastAsiaTheme="minorEastAsia" w:hAnsiTheme="minorEastAsia" w:hint="eastAsia"/>
          <w:sz w:val="24"/>
        </w:rPr>
        <w:t>目前，恒阳集团</w:t>
      </w:r>
      <w:r w:rsidR="00454917">
        <w:rPr>
          <w:rFonts w:asciiTheme="minorEastAsia" w:eastAsiaTheme="minorEastAsia" w:hAnsiTheme="minorEastAsia" w:hint="eastAsia"/>
          <w:sz w:val="24"/>
        </w:rPr>
        <w:t>国内</w:t>
      </w:r>
      <w:r>
        <w:rPr>
          <w:rFonts w:asciiTheme="minorEastAsia" w:eastAsiaTheme="minorEastAsia" w:hAnsiTheme="minorEastAsia" w:hint="eastAsia"/>
          <w:sz w:val="24"/>
        </w:rPr>
        <w:t>的牛业资产尚未注入我公司，</w:t>
      </w:r>
      <w:r w:rsidR="00454917">
        <w:rPr>
          <w:rFonts w:asciiTheme="minorEastAsia" w:eastAsiaTheme="minorEastAsia" w:hAnsiTheme="minorEastAsia" w:hint="eastAsia"/>
          <w:sz w:val="24"/>
        </w:rPr>
        <w:t>相关资产的收益未在上市公司体现。公司现开展了一些牛肉贸易业务，并购的乌拉圭22厂、177厂在2017年末才完成交割，这些实际情况使上市公司相关牛业带来的收益较低是事实，但无法代表公司未来牛业发展前景及对公司的贡献。</w:t>
      </w:r>
    </w:p>
    <w:p w:rsidR="00093C21" w:rsidRDefault="00093C21" w:rsidP="00454917">
      <w:pPr>
        <w:topLinePunct/>
        <w:spacing w:line="360" w:lineRule="auto"/>
        <w:ind w:firstLine="555"/>
        <w:jc w:val="left"/>
        <w:rPr>
          <w:rFonts w:asciiTheme="minorEastAsia" w:eastAsiaTheme="minorEastAsia" w:hAnsiTheme="minorEastAsia"/>
          <w:sz w:val="24"/>
        </w:rPr>
      </w:pPr>
      <w:r>
        <w:rPr>
          <w:rFonts w:asciiTheme="minorEastAsia" w:eastAsiaTheme="minorEastAsia" w:hAnsiTheme="minorEastAsia" w:hint="eastAsia"/>
          <w:sz w:val="24"/>
        </w:rPr>
        <w:t>以上，</w:t>
      </w:r>
      <w:r w:rsidR="00454917">
        <w:rPr>
          <w:rFonts w:asciiTheme="minorEastAsia" w:eastAsiaTheme="minorEastAsia" w:hAnsiTheme="minorEastAsia" w:hint="eastAsia"/>
          <w:sz w:val="24"/>
        </w:rPr>
        <w:t>敬请投资者能够理解</w:t>
      </w:r>
      <w:r w:rsidR="0064754A">
        <w:rPr>
          <w:rFonts w:asciiTheme="minorEastAsia" w:eastAsiaTheme="minorEastAsia" w:hAnsiTheme="minorEastAsia" w:hint="eastAsia"/>
          <w:sz w:val="24"/>
        </w:rPr>
        <w:t>、支持</w:t>
      </w:r>
      <w:r w:rsidR="00454917">
        <w:rPr>
          <w:rFonts w:asciiTheme="minorEastAsia" w:eastAsiaTheme="minorEastAsia" w:hAnsiTheme="minorEastAsia" w:hint="eastAsia"/>
          <w:sz w:val="24"/>
        </w:rPr>
        <w:t>，也欢迎投资者与我公司进行信息交流。</w:t>
      </w:r>
    </w:p>
    <w:p w:rsidR="00093C21" w:rsidRDefault="00093C21" w:rsidP="00454917">
      <w:pPr>
        <w:topLinePunct/>
        <w:spacing w:line="360" w:lineRule="auto"/>
        <w:ind w:firstLine="555"/>
        <w:jc w:val="left"/>
        <w:rPr>
          <w:rFonts w:asciiTheme="minorEastAsia" w:eastAsiaTheme="minorEastAsia" w:hAnsiTheme="minorEastAsia"/>
          <w:sz w:val="24"/>
        </w:rPr>
      </w:pPr>
    </w:p>
    <w:p w:rsidR="00093C21" w:rsidRDefault="00093C21" w:rsidP="00454917">
      <w:pPr>
        <w:topLinePunct/>
        <w:spacing w:line="360" w:lineRule="auto"/>
        <w:ind w:firstLine="555"/>
        <w:jc w:val="left"/>
        <w:rPr>
          <w:rFonts w:asciiTheme="minorEastAsia" w:eastAsiaTheme="minorEastAsia" w:hAnsiTheme="minorEastAsia"/>
          <w:sz w:val="24"/>
        </w:rPr>
      </w:pPr>
    </w:p>
    <w:p w:rsidR="00093C21" w:rsidRDefault="00093C21" w:rsidP="00454917">
      <w:pPr>
        <w:topLinePunct/>
        <w:spacing w:line="360" w:lineRule="auto"/>
        <w:ind w:firstLine="555"/>
        <w:jc w:val="right"/>
        <w:rPr>
          <w:rFonts w:asciiTheme="minorEastAsia" w:eastAsiaTheme="minorEastAsia" w:hAnsiTheme="minorEastAsia"/>
          <w:sz w:val="24"/>
        </w:rPr>
      </w:pPr>
      <w:r>
        <w:rPr>
          <w:rFonts w:asciiTheme="minorEastAsia" w:eastAsiaTheme="minorEastAsia" w:hAnsiTheme="minorEastAsia" w:hint="eastAsia"/>
          <w:sz w:val="24"/>
        </w:rPr>
        <w:t>新大洲控股股份有限公司</w:t>
      </w:r>
    </w:p>
    <w:p w:rsidR="00093C21" w:rsidRPr="00093C21" w:rsidRDefault="00093C21" w:rsidP="00454917">
      <w:pPr>
        <w:spacing w:line="360" w:lineRule="auto"/>
        <w:ind w:firstLineChars="202" w:firstLine="485"/>
        <w:jc w:val="right"/>
        <w:outlineLvl w:val="0"/>
        <w:rPr>
          <w:rFonts w:asciiTheme="minorEastAsia" w:eastAsiaTheme="minorEastAsia" w:hAnsiTheme="minorEastAsia"/>
          <w:sz w:val="24"/>
        </w:rPr>
      </w:pPr>
      <w:r>
        <w:rPr>
          <w:rFonts w:asciiTheme="minorEastAsia" w:eastAsiaTheme="minorEastAsia" w:hAnsiTheme="minorEastAsia" w:hint="eastAsia"/>
          <w:sz w:val="24"/>
        </w:rPr>
        <w:t>二〇一八年一</w:t>
      </w:r>
      <w:bookmarkStart w:id="0" w:name="_GoBack"/>
      <w:bookmarkEnd w:id="0"/>
      <w:r>
        <w:rPr>
          <w:rFonts w:asciiTheme="minorEastAsia" w:eastAsiaTheme="minorEastAsia" w:hAnsiTheme="minorEastAsia" w:hint="eastAsia"/>
          <w:sz w:val="24"/>
        </w:rPr>
        <w:t>月</w:t>
      </w:r>
      <w:r w:rsidR="00454917">
        <w:rPr>
          <w:rFonts w:asciiTheme="minorEastAsia" w:eastAsiaTheme="minorEastAsia" w:hAnsiTheme="minorEastAsia" w:hint="eastAsia"/>
          <w:sz w:val="24"/>
        </w:rPr>
        <w:t>十</w:t>
      </w:r>
      <w:r w:rsidR="006D3CEF">
        <w:rPr>
          <w:rFonts w:asciiTheme="minorEastAsia" w:eastAsiaTheme="minorEastAsia" w:hAnsiTheme="minorEastAsia" w:hint="eastAsia"/>
          <w:sz w:val="24"/>
        </w:rPr>
        <w:t>二</w:t>
      </w:r>
      <w:r>
        <w:rPr>
          <w:rFonts w:asciiTheme="minorEastAsia" w:eastAsiaTheme="minorEastAsia" w:hAnsiTheme="minorEastAsia" w:hint="eastAsia"/>
          <w:sz w:val="24"/>
        </w:rPr>
        <w:t>日</w:t>
      </w:r>
    </w:p>
    <w:sectPr w:rsidR="00093C21" w:rsidRPr="00093C21" w:rsidSect="00D87DC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D43" w:rsidRDefault="00995D43" w:rsidP="00344575">
      <w:r>
        <w:separator/>
      </w:r>
    </w:p>
  </w:endnote>
  <w:endnote w:type="continuationSeparator" w:id="0">
    <w:p w:rsidR="00995D43" w:rsidRDefault="00995D43" w:rsidP="00344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056" w:rsidRDefault="00092056">
    <w:pPr>
      <w:pStyle w:val="a4"/>
      <w:jc w:val="center"/>
    </w:pPr>
    <w:r>
      <w:fldChar w:fldCharType="begin"/>
    </w:r>
    <w:r>
      <w:instrText>PAGE   \* MERGEFORMAT</w:instrText>
    </w:r>
    <w:r>
      <w:fldChar w:fldCharType="separate"/>
    </w:r>
    <w:r w:rsidR="0064754A" w:rsidRPr="0064754A">
      <w:rPr>
        <w:noProof/>
        <w:lang w:val="zh-CN"/>
      </w:rPr>
      <w:t>3</w:t>
    </w:r>
    <w:r>
      <w:fldChar w:fldCharType="end"/>
    </w:r>
  </w:p>
  <w:p w:rsidR="00295AC1" w:rsidRDefault="00995D43" w:rsidP="00CB3130">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D43" w:rsidRDefault="00995D43" w:rsidP="00344575">
      <w:r>
        <w:separator/>
      </w:r>
    </w:p>
  </w:footnote>
  <w:footnote w:type="continuationSeparator" w:id="0">
    <w:p w:rsidR="00995D43" w:rsidRDefault="00995D43" w:rsidP="003445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55FFAA9D0000CF3F" w:val=" "/>
    <w:docVar w:name="571DD4DC0000A63F" w:val=" "/>
    <w:docVar w:name="571DD5D800008025" w:val=" "/>
    <w:docVar w:name="571DD69A000074CD" w:val=" "/>
    <w:docVar w:name="5A533FCD00008F71" w:val=" "/>
  </w:docVars>
  <w:rsids>
    <w:rsidRoot w:val="00344575"/>
    <w:rsid w:val="000023A7"/>
    <w:rsid w:val="00003FCE"/>
    <w:rsid w:val="00015FC5"/>
    <w:rsid w:val="00021419"/>
    <w:rsid w:val="00030076"/>
    <w:rsid w:val="00030605"/>
    <w:rsid w:val="0003260E"/>
    <w:rsid w:val="00036A14"/>
    <w:rsid w:val="00040B2F"/>
    <w:rsid w:val="00044A8C"/>
    <w:rsid w:val="000646BE"/>
    <w:rsid w:val="00066BC7"/>
    <w:rsid w:val="00070895"/>
    <w:rsid w:val="00086617"/>
    <w:rsid w:val="00087A9D"/>
    <w:rsid w:val="00092056"/>
    <w:rsid w:val="00093C21"/>
    <w:rsid w:val="000A3A84"/>
    <w:rsid w:val="000B51E9"/>
    <w:rsid w:val="000B6872"/>
    <w:rsid w:val="000B6C77"/>
    <w:rsid w:val="000D087B"/>
    <w:rsid w:val="00100333"/>
    <w:rsid w:val="001005EF"/>
    <w:rsid w:val="00107E66"/>
    <w:rsid w:val="001147DE"/>
    <w:rsid w:val="0012026B"/>
    <w:rsid w:val="001253CA"/>
    <w:rsid w:val="001455C6"/>
    <w:rsid w:val="00155459"/>
    <w:rsid w:val="00157F54"/>
    <w:rsid w:val="00160749"/>
    <w:rsid w:val="00161582"/>
    <w:rsid w:val="00162012"/>
    <w:rsid w:val="00165339"/>
    <w:rsid w:val="00165B57"/>
    <w:rsid w:val="00171EBC"/>
    <w:rsid w:val="001A05D7"/>
    <w:rsid w:val="001A11A1"/>
    <w:rsid w:val="001A5877"/>
    <w:rsid w:val="001B0DF0"/>
    <w:rsid w:val="001C54E4"/>
    <w:rsid w:val="001D2395"/>
    <w:rsid w:val="001D6DF3"/>
    <w:rsid w:val="001F0D3F"/>
    <w:rsid w:val="001F1B66"/>
    <w:rsid w:val="002006EB"/>
    <w:rsid w:val="00202C3A"/>
    <w:rsid w:val="00204C18"/>
    <w:rsid w:val="002057A2"/>
    <w:rsid w:val="00214026"/>
    <w:rsid w:val="00227343"/>
    <w:rsid w:val="002275D5"/>
    <w:rsid w:val="00252AA5"/>
    <w:rsid w:val="00253081"/>
    <w:rsid w:val="002549E8"/>
    <w:rsid w:val="00262C3F"/>
    <w:rsid w:val="00265672"/>
    <w:rsid w:val="00277EFA"/>
    <w:rsid w:val="00287DAE"/>
    <w:rsid w:val="002A0F0F"/>
    <w:rsid w:val="002A7C06"/>
    <w:rsid w:val="002B16BC"/>
    <w:rsid w:val="002B1F8A"/>
    <w:rsid w:val="002C12DF"/>
    <w:rsid w:val="002C6572"/>
    <w:rsid w:val="002E50F0"/>
    <w:rsid w:val="002E7237"/>
    <w:rsid w:val="002F0EF7"/>
    <w:rsid w:val="002F54C3"/>
    <w:rsid w:val="00305A4C"/>
    <w:rsid w:val="003075D5"/>
    <w:rsid w:val="00313601"/>
    <w:rsid w:val="003257D9"/>
    <w:rsid w:val="00334100"/>
    <w:rsid w:val="00344575"/>
    <w:rsid w:val="003478C8"/>
    <w:rsid w:val="003564B2"/>
    <w:rsid w:val="003649D9"/>
    <w:rsid w:val="003725FD"/>
    <w:rsid w:val="00390BF6"/>
    <w:rsid w:val="003A70B3"/>
    <w:rsid w:val="003B095C"/>
    <w:rsid w:val="003B3759"/>
    <w:rsid w:val="003B3802"/>
    <w:rsid w:val="003C2904"/>
    <w:rsid w:val="003D059B"/>
    <w:rsid w:val="003D3315"/>
    <w:rsid w:val="003E5383"/>
    <w:rsid w:val="003F71FC"/>
    <w:rsid w:val="0041033F"/>
    <w:rsid w:val="004109C2"/>
    <w:rsid w:val="00414996"/>
    <w:rsid w:val="00416EDC"/>
    <w:rsid w:val="00433CE2"/>
    <w:rsid w:val="00436DBE"/>
    <w:rsid w:val="00441C75"/>
    <w:rsid w:val="004426DD"/>
    <w:rsid w:val="004464F5"/>
    <w:rsid w:val="00454917"/>
    <w:rsid w:val="00460155"/>
    <w:rsid w:val="00465806"/>
    <w:rsid w:val="00465965"/>
    <w:rsid w:val="00476E4C"/>
    <w:rsid w:val="00483C7B"/>
    <w:rsid w:val="004A01AA"/>
    <w:rsid w:val="004A1AFA"/>
    <w:rsid w:val="004A3BCC"/>
    <w:rsid w:val="004B429C"/>
    <w:rsid w:val="004C18D5"/>
    <w:rsid w:val="004C2D6C"/>
    <w:rsid w:val="004C713D"/>
    <w:rsid w:val="004E3500"/>
    <w:rsid w:val="004E5DCC"/>
    <w:rsid w:val="004F49F5"/>
    <w:rsid w:val="00523903"/>
    <w:rsid w:val="00562E7B"/>
    <w:rsid w:val="005670D4"/>
    <w:rsid w:val="005725F1"/>
    <w:rsid w:val="00573E14"/>
    <w:rsid w:val="00583463"/>
    <w:rsid w:val="00583839"/>
    <w:rsid w:val="00594E18"/>
    <w:rsid w:val="005B20E3"/>
    <w:rsid w:val="005B329A"/>
    <w:rsid w:val="005C0E71"/>
    <w:rsid w:val="005D7A0F"/>
    <w:rsid w:val="005E3CBE"/>
    <w:rsid w:val="005F1E09"/>
    <w:rsid w:val="005F3C2C"/>
    <w:rsid w:val="005F4652"/>
    <w:rsid w:val="0060028A"/>
    <w:rsid w:val="0061286A"/>
    <w:rsid w:val="0061544D"/>
    <w:rsid w:val="006174E5"/>
    <w:rsid w:val="006343F4"/>
    <w:rsid w:val="00640541"/>
    <w:rsid w:val="006444F1"/>
    <w:rsid w:val="0064754A"/>
    <w:rsid w:val="00655FB2"/>
    <w:rsid w:val="006742D5"/>
    <w:rsid w:val="00676B29"/>
    <w:rsid w:val="0069504B"/>
    <w:rsid w:val="006A13E6"/>
    <w:rsid w:val="006B087C"/>
    <w:rsid w:val="006B4D48"/>
    <w:rsid w:val="006B7A05"/>
    <w:rsid w:val="006C1A81"/>
    <w:rsid w:val="006C549E"/>
    <w:rsid w:val="006D3CEF"/>
    <w:rsid w:val="006D5264"/>
    <w:rsid w:val="006E407F"/>
    <w:rsid w:val="006E743B"/>
    <w:rsid w:val="00722EE4"/>
    <w:rsid w:val="00723C3C"/>
    <w:rsid w:val="00725317"/>
    <w:rsid w:val="007340A1"/>
    <w:rsid w:val="00743D4D"/>
    <w:rsid w:val="00750978"/>
    <w:rsid w:val="00750D2A"/>
    <w:rsid w:val="007539B1"/>
    <w:rsid w:val="00755CC0"/>
    <w:rsid w:val="00755E39"/>
    <w:rsid w:val="0076137E"/>
    <w:rsid w:val="007647F7"/>
    <w:rsid w:val="007712DB"/>
    <w:rsid w:val="00785985"/>
    <w:rsid w:val="00790B48"/>
    <w:rsid w:val="0079232F"/>
    <w:rsid w:val="007A1738"/>
    <w:rsid w:val="007B4780"/>
    <w:rsid w:val="007B51CE"/>
    <w:rsid w:val="007C2832"/>
    <w:rsid w:val="007C6760"/>
    <w:rsid w:val="007D04F3"/>
    <w:rsid w:val="007D3842"/>
    <w:rsid w:val="007D404C"/>
    <w:rsid w:val="007E3FED"/>
    <w:rsid w:val="007E464B"/>
    <w:rsid w:val="00802199"/>
    <w:rsid w:val="00811805"/>
    <w:rsid w:val="0082393B"/>
    <w:rsid w:val="00832457"/>
    <w:rsid w:val="008739B5"/>
    <w:rsid w:val="008B77BA"/>
    <w:rsid w:val="008C35F7"/>
    <w:rsid w:val="008D44CC"/>
    <w:rsid w:val="008E0B25"/>
    <w:rsid w:val="008E4FEB"/>
    <w:rsid w:val="008F0A5B"/>
    <w:rsid w:val="0090664F"/>
    <w:rsid w:val="00914A3A"/>
    <w:rsid w:val="009277BB"/>
    <w:rsid w:val="00931C3D"/>
    <w:rsid w:val="0093389A"/>
    <w:rsid w:val="00934041"/>
    <w:rsid w:val="009557C1"/>
    <w:rsid w:val="0096426A"/>
    <w:rsid w:val="00977075"/>
    <w:rsid w:val="009814B4"/>
    <w:rsid w:val="00982534"/>
    <w:rsid w:val="009923B4"/>
    <w:rsid w:val="00995D43"/>
    <w:rsid w:val="00995FD6"/>
    <w:rsid w:val="009A095A"/>
    <w:rsid w:val="009A0BB9"/>
    <w:rsid w:val="009A27FC"/>
    <w:rsid w:val="009A361D"/>
    <w:rsid w:val="009A4950"/>
    <w:rsid w:val="009A6377"/>
    <w:rsid w:val="009B0F6F"/>
    <w:rsid w:val="009B1925"/>
    <w:rsid w:val="009B42D3"/>
    <w:rsid w:val="009B6E58"/>
    <w:rsid w:val="009C0D94"/>
    <w:rsid w:val="009C560D"/>
    <w:rsid w:val="009D3820"/>
    <w:rsid w:val="009D44E1"/>
    <w:rsid w:val="009F7BFC"/>
    <w:rsid w:val="00A163A3"/>
    <w:rsid w:val="00A22A0F"/>
    <w:rsid w:val="00A24CD9"/>
    <w:rsid w:val="00A35450"/>
    <w:rsid w:val="00A5001A"/>
    <w:rsid w:val="00A60B5E"/>
    <w:rsid w:val="00A6470B"/>
    <w:rsid w:val="00A67190"/>
    <w:rsid w:val="00A73183"/>
    <w:rsid w:val="00A80E63"/>
    <w:rsid w:val="00A82B1E"/>
    <w:rsid w:val="00A854E6"/>
    <w:rsid w:val="00A92298"/>
    <w:rsid w:val="00A94873"/>
    <w:rsid w:val="00AA7E46"/>
    <w:rsid w:val="00AB546A"/>
    <w:rsid w:val="00AC10C2"/>
    <w:rsid w:val="00AC4119"/>
    <w:rsid w:val="00AD2B4A"/>
    <w:rsid w:val="00AD4F46"/>
    <w:rsid w:val="00AE4494"/>
    <w:rsid w:val="00AE5CC7"/>
    <w:rsid w:val="00AE6EDC"/>
    <w:rsid w:val="00B00C45"/>
    <w:rsid w:val="00B04149"/>
    <w:rsid w:val="00B07B40"/>
    <w:rsid w:val="00B10FBF"/>
    <w:rsid w:val="00B11994"/>
    <w:rsid w:val="00B21CA6"/>
    <w:rsid w:val="00B2424B"/>
    <w:rsid w:val="00B26BDA"/>
    <w:rsid w:val="00B309FC"/>
    <w:rsid w:val="00B30B04"/>
    <w:rsid w:val="00B34132"/>
    <w:rsid w:val="00B377C3"/>
    <w:rsid w:val="00B4217B"/>
    <w:rsid w:val="00B47E31"/>
    <w:rsid w:val="00B537D2"/>
    <w:rsid w:val="00B54162"/>
    <w:rsid w:val="00B5575D"/>
    <w:rsid w:val="00B640D6"/>
    <w:rsid w:val="00B64280"/>
    <w:rsid w:val="00B6466B"/>
    <w:rsid w:val="00B7298F"/>
    <w:rsid w:val="00B828B5"/>
    <w:rsid w:val="00B8552E"/>
    <w:rsid w:val="00B86F91"/>
    <w:rsid w:val="00B90F93"/>
    <w:rsid w:val="00B945D0"/>
    <w:rsid w:val="00BA0E1C"/>
    <w:rsid w:val="00BA38B6"/>
    <w:rsid w:val="00BC093A"/>
    <w:rsid w:val="00BC6F67"/>
    <w:rsid w:val="00BD4105"/>
    <w:rsid w:val="00BD455E"/>
    <w:rsid w:val="00BD6789"/>
    <w:rsid w:val="00BD7724"/>
    <w:rsid w:val="00BF2842"/>
    <w:rsid w:val="00BF31F8"/>
    <w:rsid w:val="00C15A0B"/>
    <w:rsid w:val="00C21BFB"/>
    <w:rsid w:val="00C21DF3"/>
    <w:rsid w:val="00C23751"/>
    <w:rsid w:val="00C23D89"/>
    <w:rsid w:val="00C35AEF"/>
    <w:rsid w:val="00C35FF6"/>
    <w:rsid w:val="00C43538"/>
    <w:rsid w:val="00C43971"/>
    <w:rsid w:val="00C531DD"/>
    <w:rsid w:val="00C57839"/>
    <w:rsid w:val="00C64836"/>
    <w:rsid w:val="00C64A7C"/>
    <w:rsid w:val="00C67DED"/>
    <w:rsid w:val="00C764F9"/>
    <w:rsid w:val="00C76AAE"/>
    <w:rsid w:val="00C77B78"/>
    <w:rsid w:val="00C80EC0"/>
    <w:rsid w:val="00C85805"/>
    <w:rsid w:val="00CA5280"/>
    <w:rsid w:val="00CB1765"/>
    <w:rsid w:val="00CB5C76"/>
    <w:rsid w:val="00CC6810"/>
    <w:rsid w:val="00CD1989"/>
    <w:rsid w:val="00CD1B75"/>
    <w:rsid w:val="00CD4A9C"/>
    <w:rsid w:val="00CE5554"/>
    <w:rsid w:val="00CE608A"/>
    <w:rsid w:val="00CF566C"/>
    <w:rsid w:val="00D06F1F"/>
    <w:rsid w:val="00D10136"/>
    <w:rsid w:val="00D17E67"/>
    <w:rsid w:val="00D20B44"/>
    <w:rsid w:val="00D246DA"/>
    <w:rsid w:val="00D27B49"/>
    <w:rsid w:val="00D52517"/>
    <w:rsid w:val="00D54756"/>
    <w:rsid w:val="00D661A5"/>
    <w:rsid w:val="00D679B7"/>
    <w:rsid w:val="00D84DC5"/>
    <w:rsid w:val="00D919BC"/>
    <w:rsid w:val="00D978A6"/>
    <w:rsid w:val="00DA3554"/>
    <w:rsid w:val="00DA72D9"/>
    <w:rsid w:val="00DB0D67"/>
    <w:rsid w:val="00DC338F"/>
    <w:rsid w:val="00DD0140"/>
    <w:rsid w:val="00DD3374"/>
    <w:rsid w:val="00DD6855"/>
    <w:rsid w:val="00DD7593"/>
    <w:rsid w:val="00DE2736"/>
    <w:rsid w:val="00DE4177"/>
    <w:rsid w:val="00DF38BC"/>
    <w:rsid w:val="00E13DFF"/>
    <w:rsid w:val="00E15B01"/>
    <w:rsid w:val="00E15DD4"/>
    <w:rsid w:val="00E16FD6"/>
    <w:rsid w:val="00E215E5"/>
    <w:rsid w:val="00E236F5"/>
    <w:rsid w:val="00E31A14"/>
    <w:rsid w:val="00E35CB1"/>
    <w:rsid w:val="00E43F65"/>
    <w:rsid w:val="00E6101C"/>
    <w:rsid w:val="00E61685"/>
    <w:rsid w:val="00E7759D"/>
    <w:rsid w:val="00E8379F"/>
    <w:rsid w:val="00E862E0"/>
    <w:rsid w:val="00EB40C1"/>
    <w:rsid w:val="00EB6163"/>
    <w:rsid w:val="00EC20B9"/>
    <w:rsid w:val="00EF3E15"/>
    <w:rsid w:val="00EF7F7A"/>
    <w:rsid w:val="00F008F8"/>
    <w:rsid w:val="00F03A69"/>
    <w:rsid w:val="00F0629B"/>
    <w:rsid w:val="00F07FDC"/>
    <w:rsid w:val="00F15E64"/>
    <w:rsid w:val="00F17BC7"/>
    <w:rsid w:val="00F2061A"/>
    <w:rsid w:val="00F253A0"/>
    <w:rsid w:val="00F27A4E"/>
    <w:rsid w:val="00F4526E"/>
    <w:rsid w:val="00F52F8B"/>
    <w:rsid w:val="00F57240"/>
    <w:rsid w:val="00F63F86"/>
    <w:rsid w:val="00F66D4E"/>
    <w:rsid w:val="00F722AB"/>
    <w:rsid w:val="00F73F65"/>
    <w:rsid w:val="00F76A43"/>
    <w:rsid w:val="00F81BC4"/>
    <w:rsid w:val="00F91219"/>
    <w:rsid w:val="00F91FAA"/>
    <w:rsid w:val="00FB2354"/>
    <w:rsid w:val="00FB43DA"/>
    <w:rsid w:val="00FB53CF"/>
    <w:rsid w:val="00FC7B4D"/>
    <w:rsid w:val="00FD065D"/>
    <w:rsid w:val="00FD3C6F"/>
    <w:rsid w:val="00FD4265"/>
    <w:rsid w:val="00FE0ED7"/>
    <w:rsid w:val="00FE27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45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4575"/>
    <w:rPr>
      <w:sz w:val="18"/>
      <w:szCs w:val="18"/>
    </w:rPr>
  </w:style>
  <w:style w:type="paragraph" w:styleId="a4">
    <w:name w:val="footer"/>
    <w:basedOn w:val="a"/>
    <w:link w:val="Char0"/>
    <w:uiPriority w:val="99"/>
    <w:unhideWhenUsed/>
    <w:rsid w:val="00344575"/>
    <w:pPr>
      <w:tabs>
        <w:tab w:val="center" w:pos="4153"/>
        <w:tab w:val="right" w:pos="8306"/>
      </w:tabs>
      <w:snapToGrid w:val="0"/>
      <w:jc w:val="left"/>
    </w:pPr>
    <w:rPr>
      <w:sz w:val="18"/>
      <w:szCs w:val="18"/>
    </w:rPr>
  </w:style>
  <w:style w:type="character" w:customStyle="1" w:styleId="Char0">
    <w:name w:val="页脚 Char"/>
    <w:basedOn w:val="a0"/>
    <w:link w:val="a4"/>
    <w:uiPriority w:val="99"/>
    <w:rsid w:val="00344575"/>
    <w:rPr>
      <w:sz w:val="18"/>
      <w:szCs w:val="18"/>
    </w:rPr>
  </w:style>
  <w:style w:type="paragraph" w:styleId="a5">
    <w:name w:val="Body Text Indent"/>
    <w:basedOn w:val="a"/>
    <w:link w:val="Char1"/>
    <w:rsid w:val="00344575"/>
    <w:pPr>
      <w:ind w:firstLineChars="400" w:firstLine="964"/>
      <w:jc w:val="right"/>
    </w:pPr>
    <w:rPr>
      <w:b/>
      <w:sz w:val="24"/>
    </w:rPr>
  </w:style>
  <w:style w:type="character" w:customStyle="1" w:styleId="Char1">
    <w:name w:val="正文文本缩进 Char"/>
    <w:basedOn w:val="a0"/>
    <w:link w:val="a5"/>
    <w:rsid w:val="00344575"/>
    <w:rPr>
      <w:rFonts w:ascii="Times New Roman" w:eastAsia="宋体" w:hAnsi="Times New Roman" w:cs="Times New Roman"/>
      <w:b/>
      <w:sz w:val="24"/>
      <w:szCs w:val="24"/>
    </w:rPr>
  </w:style>
  <w:style w:type="character" w:styleId="a6">
    <w:name w:val="page number"/>
    <w:basedOn w:val="a0"/>
    <w:rsid w:val="00344575"/>
  </w:style>
  <w:style w:type="paragraph" w:styleId="a7">
    <w:name w:val="Document Map"/>
    <w:basedOn w:val="a"/>
    <w:link w:val="Char2"/>
    <w:uiPriority w:val="99"/>
    <w:semiHidden/>
    <w:unhideWhenUsed/>
    <w:rsid w:val="00344575"/>
    <w:rPr>
      <w:rFonts w:ascii="宋体"/>
      <w:sz w:val="18"/>
      <w:szCs w:val="18"/>
    </w:rPr>
  </w:style>
  <w:style w:type="character" w:customStyle="1" w:styleId="Char2">
    <w:name w:val="文档结构图 Char"/>
    <w:basedOn w:val="a0"/>
    <w:link w:val="a7"/>
    <w:uiPriority w:val="99"/>
    <w:semiHidden/>
    <w:rsid w:val="00344575"/>
    <w:rPr>
      <w:rFonts w:ascii="宋体" w:eastAsia="宋体" w:hAnsi="Times New Roman" w:cs="Times New Roman"/>
      <w:sz w:val="18"/>
      <w:szCs w:val="18"/>
    </w:rPr>
  </w:style>
  <w:style w:type="paragraph" w:styleId="a8">
    <w:name w:val="Balloon Text"/>
    <w:basedOn w:val="a"/>
    <w:link w:val="Char3"/>
    <w:uiPriority w:val="99"/>
    <w:semiHidden/>
    <w:unhideWhenUsed/>
    <w:rsid w:val="002C6572"/>
    <w:rPr>
      <w:sz w:val="18"/>
      <w:szCs w:val="18"/>
    </w:rPr>
  </w:style>
  <w:style w:type="character" w:customStyle="1" w:styleId="Char3">
    <w:name w:val="批注框文本 Char"/>
    <w:basedOn w:val="a0"/>
    <w:link w:val="a8"/>
    <w:uiPriority w:val="99"/>
    <w:semiHidden/>
    <w:rsid w:val="002C657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45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4575"/>
    <w:rPr>
      <w:sz w:val="18"/>
      <w:szCs w:val="18"/>
    </w:rPr>
  </w:style>
  <w:style w:type="paragraph" w:styleId="a4">
    <w:name w:val="footer"/>
    <w:basedOn w:val="a"/>
    <w:link w:val="Char0"/>
    <w:uiPriority w:val="99"/>
    <w:unhideWhenUsed/>
    <w:rsid w:val="00344575"/>
    <w:pPr>
      <w:tabs>
        <w:tab w:val="center" w:pos="4153"/>
        <w:tab w:val="right" w:pos="8306"/>
      </w:tabs>
      <w:snapToGrid w:val="0"/>
      <w:jc w:val="left"/>
    </w:pPr>
    <w:rPr>
      <w:sz w:val="18"/>
      <w:szCs w:val="18"/>
    </w:rPr>
  </w:style>
  <w:style w:type="character" w:customStyle="1" w:styleId="Char0">
    <w:name w:val="页脚 Char"/>
    <w:basedOn w:val="a0"/>
    <w:link w:val="a4"/>
    <w:uiPriority w:val="99"/>
    <w:rsid w:val="00344575"/>
    <w:rPr>
      <w:sz w:val="18"/>
      <w:szCs w:val="18"/>
    </w:rPr>
  </w:style>
  <w:style w:type="paragraph" w:styleId="a5">
    <w:name w:val="Body Text Indent"/>
    <w:basedOn w:val="a"/>
    <w:link w:val="Char1"/>
    <w:rsid w:val="00344575"/>
    <w:pPr>
      <w:ind w:firstLineChars="400" w:firstLine="964"/>
      <w:jc w:val="right"/>
    </w:pPr>
    <w:rPr>
      <w:b/>
      <w:sz w:val="24"/>
    </w:rPr>
  </w:style>
  <w:style w:type="character" w:customStyle="1" w:styleId="Char1">
    <w:name w:val="正文文本缩进 Char"/>
    <w:basedOn w:val="a0"/>
    <w:link w:val="a5"/>
    <w:rsid w:val="00344575"/>
    <w:rPr>
      <w:rFonts w:ascii="Times New Roman" w:eastAsia="宋体" w:hAnsi="Times New Roman" w:cs="Times New Roman"/>
      <w:b/>
      <w:sz w:val="24"/>
      <w:szCs w:val="24"/>
    </w:rPr>
  </w:style>
  <w:style w:type="character" w:styleId="a6">
    <w:name w:val="page number"/>
    <w:basedOn w:val="a0"/>
    <w:rsid w:val="00344575"/>
  </w:style>
  <w:style w:type="paragraph" w:styleId="a7">
    <w:name w:val="Document Map"/>
    <w:basedOn w:val="a"/>
    <w:link w:val="Char2"/>
    <w:uiPriority w:val="99"/>
    <w:semiHidden/>
    <w:unhideWhenUsed/>
    <w:rsid w:val="00344575"/>
    <w:rPr>
      <w:rFonts w:ascii="宋体"/>
      <w:sz w:val="18"/>
      <w:szCs w:val="18"/>
    </w:rPr>
  </w:style>
  <w:style w:type="character" w:customStyle="1" w:styleId="Char2">
    <w:name w:val="文档结构图 Char"/>
    <w:basedOn w:val="a0"/>
    <w:link w:val="a7"/>
    <w:uiPriority w:val="99"/>
    <w:semiHidden/>
    <w:rsid w:val="00344575"/>
    <w:rPr>
      <w:rFonts w:ascii="宋体" w:eastAsia="宋体" w:hAnsi="Times New Roman" w:cs="Times New Roman"/>
      <w:sz w:val="18"/>
      <w:szCs w:val="18"/>
    </w:rPr>
  </w:style>
  <w:style w:type="paragraph" w:styleId="a8">
    <w:name w:val="Balloon Text"/>
    <w:basedOn w:val="a"/>
    <w:link w:val="Char3"/>
    <w:uiPriority w:val="99"/>
    <w:semiHidden/>
    <w:unhideWhenUsed/>
    <w:rsid w:val="002C6572"/>
    <w:rPr>
      <w:sz w:val="18"/>
      <w:szCs w:val="18"/>
    </w:rPr>
  </w:style>
  <w:style w:type="character" w:customStyle="1" w:styleId="Char3">
    <w:name w:val="批注框文本 Char"/>
    <w:basedOn w:val="a0"/>
    <w:link w:val="a8"/>
    <w:uiPriority w:val="99"/>
    <w:semiHidden/>
    <w:rsid w:val="002C657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3483">
      <w:bodyDiv w:val="1"/>
      <w:marLeft w:val="0"/>
      <w:marRight w:val="0"/>
      <w:marTop w:val="0"/>
      <w:marBottom w:val="0"/>
      <w:divBdr>
        <w:top w:val="none" w:sz="0" w:space="0" w:color="auto"/>
        <w:left w:val="none" w:sz="0" w:space="0" w:color="auto"/>
        <w:bottom w:val="none" w:sz="0" w:space="0" w:color="auto"/>
        <w:right w:val="none" w:sz="0" w:space="0" w:color="auto"/>
      </w:divBdr>
    </w:div>
    <w:div w:id="67577677">
      <w:bodyDiv w:val="1"/>
      <w:marLeft w:val="0"/>
      <w:marRight w:val="0"/>
      <w:marTop w:val="0"/>
      <w:marBottom w:val="0"/>
      <w:divBdr>
        <w:top w:val="none" w:sz="0" w:space="0" w:color="auto"/>
        <w:left w:val="none" w:sz="0" w:space="0" w:color="auto"/>
        <w:bottom w:val="none" w:sz="0" w:space="0" w:color="auto"/>
        <w:right w:val="none" w:sz="0" w:space="0" w:color="auto"/>
      </w:divBdr>
    </w:div>
    <w:div w:id="78866435">
      <w:bodyDiv w:val="1"/>
      <w:marLeft w:val="0"/>
      <w:marRight w:val="0"/>
      <w:marTop w:val="0"/>
      <w:marBottom w:val="0"/>
      <w:divBdr>
        <w:top w:val="none" w:sz="0" w:space="0" w:color="auto"/>
        <w:left w:val="none" w:sz="0" w:space="0" w:color="auto"/>
        <w:bottom w:val="none" w:sz="0" w:space="0" w:color="auto"/>
        <w:right w:val="none" w:sz="0" w:space="0" w:color="auto"/>
      </w:divBdr>
    </w:div>
    <w:div w:id="331179521">
      <w:bodyDiv w:val="1"/>
      <w:marLeft w:val="0"/>
      <w:marRight w:val="0"/>
      <w:marTop w:val="0"/>
      <w:marBottom w:val="0"/>
      <w:divBdr>
        <w:top w:val="none" w:sz="0" w:space="0" w:color="auto"/>
        <w:left w:val="none" w:sz="0" w:space="0" w:color="auto"/>
        <w:bottom w:val="none" w:sz="0" w:space="0" w:color="auto"/>
        <w:right w:val="none" w:sz="0" w:space="0" w:color="auto"/>
      </w:divBdr>
    </w:div>
    <w:div w:id="994528930">
      <w:bodyDiv w:val="1"/>
      <w:marLeft w:val="0"/>
      <w:marRight w:val="0"/>
      <w:marTop w:val="0"/>
      <w:marBottom w:val="0"/>
      <w:divBdr>
        <w:top w:val="none" w:sz="0" w:space="0" w:color="auto"/>
        <w:left w:val="none" w:sz="0" w:space="0" w:color="auto"/>
        <w:bottom w:val="none" w:sz="0" w:space="0" w:color="auto"/>
        <w:right w:val="none" w:sz="0" w:space="0" w:color="auto"/>
      </w:divBdr>
    </w:div>
    <w:div w:id="133380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5A716-15EE-4821-9F34-555C9A958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336</Words>
  <Characters>1921</Characters>
  <Application>Microsoft Office Word</Application>
  <DocSecurity>0</DocSecurity>
  <Lines>16</Lines>
  <Paragraphs>4</Paragraphs>
  <ScaleCrop>false</ScaleCrop>
  <Company>szse</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李勤</dc:creator>
  <cp:lastModifiedBy>任春雨</cp:lastModifiedBy>
  <cp:revision>4</cp:revision>
  <dcterms:created xsi:type="dcterms:W3CDTF">2018-01-12T16:20:00Z</dcterms:created>
  <dcterms:modified xsi:type="dcterms:W3CDTF">2018-01-14T04:44:00Z</dcterms:modified>
</cp:coreProperties>
</file>